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E81C96">
      <w:pPr>
        <w:pStyle w:val="17"/>
        <w:framePr w:wrap="around"/>
        <w:rPr>
          <w:rFonts w:hint="default"/>
        </w:rPr>
      </w:pPr>
      <w:r>
        <w:t>中国绿色食品协会团体标准</w:t>
      </w:r>
    </w:p>
    <w:p w14:paraId="629D6F3F">
      <w:pPr>
        <w:pStyle w:val="21"/>
        <w:framePr w:wrap="around" w:x="1470" w:y="3511"/>
        <w:rPr>
          <w:rFonts w:hint="default"/>
          <w14:shadow w14:blurRad="50800" w14:dist="38100" w14:dir="2700000" w14:sx="100000" w14:sy="100000" w14:kx="0" w14:ky="0" w14:algn="tl">
            <w14:srgbClr w14:val="000000">
              <w14:alpha w14:val="60000"/>
            </w14:srgbClr>
          </w14:shadow>
        </w:rPr>
      </w:pPr>
      <w:r>
        <w:rPr>
          <w14:shadow w14:blurRad="50800" w14:dist="38100" w14:dir="2700000" w14:sx="100000" w14:sy="100000" w14:kx="0" w14:ky="0" w14:algn="tl">
            <w14:srgbClr w14:val="000000">
              <w14:alpha w14:val="60000"/>
            </w14:srgbClr>
          </w14:shadow>
        </w:rPr>
        <w:t>T/CGFAXXX-202X</w:t>
      </w:r>
    </w:p>
    <w:p w14:paraId="4CC1AC09">
      <w:pPr>
        <w:pStyle w:val="20"/>
        <w:framePr w:wrap="around" w:x="1470" w:y="3511"/>
        <w:rPr>
          <w:rFonts w:hint="default"/>
          <w14:shadow w14:blurRad="50800" w14:dist="38100" w14:dir="2700000" w14:sx="100000" w14:sy="100000" w14:kx="0" w14:ky="0" w14:algn="tl">
            <w14:srgbClr w14:val="000000">
              <w14:alpha w14:val="60000"/>
            </w14:srgbClr>
          </w14:shadow>
        </w:rPr>
      </w:pPr>
    </w:p>
    <w:tbl>
      <w:tblPr>
        <w:tblStyle w:val="10"/>
        <w:tblW w:w="974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741"/>
      </w:tblGrid>
      <w:tr w14:paraId="219AB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741" w:type="dxa"/>
            <w:tcBorders>
              <w:top w:val="single" w:color="auto" w:sz="8" w:space="0"/>
            </w:tcBorders>
          </w:tcPr>
          <w:p w14:paraId="3CF1C18B">
            <w:pPr>
              <w:pStyle w:val="18"/>
              <w:framePr w:wrap="around"/>
              <w:rPr>
                <w:rFonts w:hAnsiTheme="minorHAnsi" w:eastAsiaTheme="minorEastAsia" w:cstheme="minorBidi"/>
                <w:sz w:val="10"/>
              </w:rPr>
            </w:pPr>
          </w:p>
        </w:tc>
      </w:tr>
    </w:tbl>
    <w:p w14:paraId="1EF203A1">
      <w:pPr>
        <w:framePr w:w="9639" w:h="6974" w:hRule="exact" w:wrap="around" w:vAnchor="page" w:hAnchor="page" w:x="1419" w:y="6408"/>
        <w:spacing w:line="560" w:lineRule="exact"/>
        <w:jc w:val="center"/>
        <w:rPr>
          <w:rFonts w:hint="eastAsia" w:ascii="黑体" w:hAnsi="黑体" w:eastAsia="黑体" w:cs="华文中宋"/>
          <w:bCs/>
          <w:sz w:val="48"/>
          <w:szCs w:val="48"/>
        </w:rPr>
      </w:pPr>
      <w:bookmarkStart w:id="0" w:name="OLE_LINK10"/>
      <w:bookmarkStart w:id="1" w:name="OLE_LINK9"/>
      <w:r>
        <w:rPr>
          <w:rFonts w:hint="eastAsia" w:ascii="黑体" w:hAnsi="黑体" w:eastAsia="黑体" w:cs="华文中宋"/>
          <w:bCs/>
          <w:sz w:val="48"/>
          <w:szCs w:val="48"/>
        </w:rPr>
        <w:t>绿色食品 江苏浙江</w:t>
      </w:r>
      <w:bookmarkStart w:id="2" w:name="OLE_LINK2"/>
      <w:r>
        <w:rPr>
          <w:rFonts w:hint="eastAsia" w:ascii="黑体" w:hAnsi="黑体" w:eastAsia="黑体" w:cs="华文中宋"/>
          <w:bCs/>
          <w:sz w:val="48"/>
          <w:szCs w:val="48"/>
        </w:rPr>
        <w:t>葡萄生产操作规程</w:t>
      </w:r>
      <w:bookmarkEnd w:id="2"/>
    </w:p>
    <w:bookmarkEnd w:id="0"/>
    <w:bookmarkEnd w:id="1"/>
    <w:p w14:paraId="78FFECE8">
      <w:pPr>
        <w:pStyle w:val="23"/>
        <w:framePr w:wrap="around"/>
        <w:rPr>
          <w:rFonts w:hint="default"/>
          <w:color w:val="EE0000"/>
        </w:rPr>
      </w:pPr>
      <w:r>
        <w:t>Code of Practice for Green Food Grape Production in Jiangsu and Zhejiang</w:t>
      </w:r>
    </w:p>
    <w:p w14:paraId="2F276CCF">
      <w:pPr>
        <w:pStyle w:val="23"/>
        <w:framePr w:wrap="around"/>
        <w:rPr>
          <w:rFonts w:hint="default"/>
        </w:rPr>
      </w:pPr>
    </w:p>
    <w:p w14:paraId="2E754696">
      <w:pPr>
        <w:pStyle w:val="23"/>
        <w:framePr w:wrap="around"/>
        <w:rPr>
          <w:rFonts w:hint="default"/>
          <w:sz w:val="36"/>
          <w:szCs w:val="22"/>
        </w:rPr>
      </w:pPr>
      <w:r>
        <w:rPr>
          <w:sz w:val="36"/>
          <w:szCs w:val="22"/>
        </w:rPr>
        <w:t>（</w:t>
      </w:r>
      <w:r>
        <w:rPr>
          <w:rFonts w:hint="eastAsia"/>
          <w:sz w:val="36"/>
          <w:szCs w:val="22"/>
          <w:lang w:val="en-US" w:eastAsia="zh-CN"/>
        </w:rPr>
        <w:t>征求意见稿</w:t>
      </w:r>
      <w:r>
        <w:rPr>
          <w:sz w:val="36"/>
          <w:szCs w:val="22"/>
        </w:rPr>
        <w:t>）</w:t>
      </w:r>
    </w:p>
    <w:tbl>
      <w:tblPr>
        <w:tblStyle w:val="10"/>
        <w:tblW w:w="1048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974"/>
        <w:gridCol w:w="5508"/>
      </w:tblGrid>
      <w:tr w14:paraId="5BCD3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1" w:hRule="exact"/>
        </w:trPr>
        <w:tc>
          <w:tcPr>
            <w:tcW w:w="4974" w:type="dxa"/>
            <w:tcBorders>
              <w:bottom w:val="single" w:color="auto" w:sz="8" w:space="0"/>
            </w:tcBorders>
            <w:tcMar>
              <w:left w:w="57" w:type="dxa"/>
              <w:bottom w:w="28" w:type="dxa"/>
            </w:tcMar>
          </w:tcPr>
          <w:p w14:paraId="0D3087FB">
            <w:pPr>
              <w:pStyle w:val="19"/>
              <w:framePr w:wrap="around"/>
              <w:rPr>
                <w:rFonts w:hAnsiTheme="minorHAnsi" w:cstheme="minorBidi"/>
              </w:rPr>
            </w:pPr>
            <w:r>
              <w:rPr>
                <w:rFonts w:hAnsiTheme="minorHAnsi" w:cstheme="minorBidi"/>
              </w:rPr>
              <w:t xml:space="preserve">202X </w:t>
            </w:r>
            <w:r>
              <w:rPr>
                <w:rFonts w:ascii="宋体" w:hAnsi="宋体" w:eastAsia="宋体" w:cs="宋体"/>
              </w:rPr>
              <w:t>–</w:t>
            </w:r>
            <w:r>
              <w:rPr>
                <w:rFonts w:ascii="宋体" w:hAnsi="宋体" w:eastAsia="宋体" w:cs="宋体"/>
                <w:b/>
                <w:bCs/>
              </w:rPr>
              <w:t>X</w:t>
            </w:r>
            <w:r>
              <w:rPr>
                <w:rFonts w:ascii="宋体" w:hAnsi="宋体" w:eastAsia="宋体" w:cs="宋体"/>
              </w:rPr>
              <w:t xml:space="preserve">– </w:t>
            </w:r>
            <w:r>
              <w:rPr>
                <w:rFonts w:hAnsiTheme="minorHAnsi" w:cstheme="minorBidi"/>
              </w:rPr>
              <w:t>X 发布</w:t>
            </w:r>
          </w:p>
        </w:tc>
        <w:tc>
          <w:tcPr>
            <w:tcW w:w="5508" w:type="dxa"/>
            <w:tcBorders>
              <w:bottom w:val="single" w:color="auto" w:sz="8" w:space="0"/>
            </w:tcBorders>
            <w:tcMar>
              <w:right w:w="57" w:type="dxa"/>
            </w:tcMar>
          </w:tcPr>
          <w:p w14:paraId="19DD59DD">
            <w:pPr>
              <w:pStyle w:val="19"/>
              <w:framePr w:wrap="around"/>
              <w:ind w:right="1120"/>
              <w:jc w:val="right"/>
              <w:rPr>
                <w:rFonts w:hAnsiTheme="minorHAnsi" w:cstheme="minorBidi"/>
              </w:rPr>
            </w:pPr>
            <w:r>
              <w:rPr>
                <w:rFonts w:hAnsiTheme="minorHAnsi" w:cstheme="minorBidi"/>
              </w:rPr>
              <w:t xml:space="preserve">    202X </w:t>
            </w:r>
            <w:r>
              <w:rPr>
                <w:rFonts w:ascii="宋体" w:hAnsi="宋体" w:eastAsia="宋体" w:cs="宋体"/>
              </w:rPr>
              <w:t>–</w:t>
            </w:r>
            <w:r>
              <w:rPr>
                <w:rFonts w:hAnsiTheme="minorHAnsi" w:cstheme="minorBidi"/>
              </w:rPr>
              <w:t>X</w:t>
            </w:r>
            <w:r>
              <w:rPr>
                <w:rFonts w:ascii="宋体" w:hAnsi="宋体" w:eastAsia="宋体" w:cs="宋体"/>
              </w:rPr>
              <w:t>–</w:t>
            </w:r>
            <w:r>
              <w:rPr>
                <w:rFonts w:hAnsiTheme="minorHAnsi" w:cstheme="minorBidi"/>
              </w:rPr>
              <w:t>X 实施</w:t>
            </w:r>
          </w:p>
        </w:tc>
      </w:tr>
    </w:tbl>
    <w:p w14:paraId="6ACA5C30">
      <w:pPr>
        <w:framePr w:w="7433" w:h="584" w:hRule="exact" w:hSpace="181" w:vSpace="181" w:wrap="around" w:vAnchor="page" w:hAnchor="margin" w:xAlign="center" w:y="15151" w:anchorLock="1"/>
        <w:widowControl/>
        <w:spacing w:line="0" w:lineRule="atLeast"/>
        <w:jc w:val="center"/>
        <w:rPr>
          <w:rFonts w:hint="eastAsia" w:ascii="黑体" w:hAnsi="黑体" w:eastAsia="黑体" w:cs="Times New Roman"/>
          <w:kern w:val="0"/>
          <w:sz w:val="44"/>
          <w:szCs w:val="44"/>
        </w:rPr>
      </w:pPr>
      <w:r>
        <w:rPr>
          <w:rFonts w:ascii="黑体" w:hAnsi="黑体" w:eastAsia="黑体" w:cs="Times New Roman"/>
          <w:spacing w:val="20"/>
          <w:kern w:val="0"/>
          <w:sz w:val="44"/>
          <w:szCs w:val="44"/>
        </w:rPr>
        <w:t>中国绿色食品协会</w:t>
      </w:r>
      <w:r>
        <w:rPr>
          <w:rFonts w:ascii="黑体" w:hAnsi="黑体" w:eastAsia="黑体" w:cs="Times New Roman"/>
          <w:kern w:val="0"/>
          <w:sz w:val="44"/>
          <w:szCs w:val="44"/>
        </w:rPr>
        <w:t xml:space="preserve">    </w:t>
      </w:r>
      <w:r>
        <w:rPr>
          <w:rFonts w:ascii="黑体" w:hAnsi="黑体" w:eastAsia="黑体" w:cs="Times New Roman"/>
          <w:kern w:val="0"/>
          <w:sz w:val="36"/>
          <w:szCs w:val="36"/>
        </w:rPr>
        <w:t>发布</w:t>
      </w:r>
    </w:p>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63"/>
        <w:gridCol w:w="9107"/>
      </w:tblGrid>
      <w:tr w14:paraId="4AE1A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63" w:type="dxa"/>
          </w:tcPr>
          <w:p w14:paraId="703F8908">
            <w:pPr>
              <w:pStyle w:val="25"/>
              <w:framePr w:wrap="around"/>
              <w:rPr>
                <w:rFonts w:hAnsiTheme="minorHAnsi" w:cstheme="minorBidi"/>
              </w:rPr>
            </w:pPr>
            <w:r>
              <w:rPr>
                <w:rFonts w:hAnsiTheme="minorHAnsi" w:cstheme="minorBidi"/>
              </w:rPr>
              <w:t>ICS</w:t>
            </w:r>
          </w:p>
        </w:tc>
        <w:tc>
          <w:tcPr>
            <w:tcW w:w="9107" w:type="dxa"/>
          </w:tcPr>
          <w:p w14:paraId="5078F1D0">
            <w:pPr>
              <w:pStyle w:val="25"/>
              <w:framePr w:wrap="around"/>
              <w:rPr>
                <w:rFonts w:hAnsiTheme="minorHAnsi" w:cstheme="minorBidi"/>
              </w:rPr>
            </w:pPr>
          </w:p>
        </w:tc>
      </w:tr>
      <w:tr w14:paraId="2C5D2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63" w:type="dxa"/>
          </w:tcPr>
          <w:p w14:paraId="4DC827EA">
            <w:pPr>
              <w:pStyle w:val="25"/>
              <w:framePr w:wrap="around"/>
              <w:rPr>
                <w:rFonts w:hAnsiTheme="minorHAnsi" w:cstheme="minorBidi"/>
              </w:rPr>
            </w:pPr>
            <w:r>
              <w:rPr>
                <w:rFonts w:hAnsiTheme="minorHAnsi" w:cstheme="minorBidi"/>
              </w:rPr>
              <w:t>CCS B</w:t>
            </w:r>
          </w:p>
        </w:tc>
        <w:tc>
          <w:tcPr>
            <w:tcW w:w="9107" w:type="dxa"/>
          </w:tcPr>
          <w:p w14:paraId="12B00D02">
            <w:pPr>
              <w:pStyle w:val="25"/>
              <w:framePr w:wrap="around"/>
              <w:rPr>
                <w:rFonts w:hAnsiTheme="minorHAnsi" w:cstheme="minorBidi"/>
              </w:rPr>
            </w:pPr>
          </w:p>
          <w:tbl>
            <w:tblPr>
              <w:tblStyle w:val="10"/>
              <w:tblpPr w:vertAnchor="page" w:horzAnchor="margin" w:tblpXSpec="right" w:tblpY="114"/>
              <w:tblOverlap w:val="never"/>
              <w:tblW w:w="666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662"/>
            </w:tblGrid>
            <w:tr w14:paraId="37A91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81" w:hRule="atLeast"/>
              </w:trPr>
              <w:tc>
                <w:tcPr>
                  <w:tcW w:w="9107" w:type="dxa"/>
                  <w:vAlign w:val="center"/>
                </w:tcPr>
                <w:p w14:paraId="06EFC6C5">
                  <w:pPr>
                    <w:pStyle w:val="25"/>
                    <w:framePr w:wrap="around"/>
                    <w:ind w:left="0" w:leftChars="0" w:firstLine="2747"/>
                    <w:jc w:val="right"/>
                    <w:rPr>
                      <w:rFonts w:ascii="Times New Roman" w:eastAsia="宋体" w:hAnsiTheme="minorHAnsi" w:cstheme="minorBidi"/>
                      <w:b/>
                      <w:w w:val="130"/>
                      <w:kern w:val="0"/>
                    </w:rPr>
                  </w:pPr>
                  <w:r>
                    <w:rPr>
                      <w:rFonts w:hint="default" w:hAnsi="黑体" w:cs="楷体"/>
                      <w:b/>
                      <w:w w:val="130"/>
                      <w:kern w:val="0"/>
                      <w:sz w:val="96"/>
                    </w:rPr>
                    <w:t>T/CGFA</w:t>
                  </w:r>
                </w:p>
              </w:tc>
            </w:tr>
          </w:tbl>
          <w:p w14:paraId="6D5D38E9">
            <w:pPr>
              <w:pStyle w:val="25"/>
              <w:framePr w:wrap="around"/>
              <w:rPr>
                <w:rFonts w:hAnsiTheme="minorHAnsi" w:cstheme="minorBidi"/>
              </w:rPr>
            </w:pPr>
          </w:p>
        </w:tc>
      </w:tr>
      <w:tr w14:paraId="6922F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63" w:type="dxa"/>
          </w:tcPr>
          <w:p w14:paraId="0DC6B404">
            <w:pPr>
              <w:pStyle w:val="25"/>
              <w:framePr w:wrap="around"/>
              <w:rPr>
                <w:rFonts w:hAnsiTheme="minorHAnsi" w:cstheme="minorBidi"/>
              </w:rPr>
            </w:pPr>
          </w:p>
        </w:tc>
        <w:tc>
          <w:tcPr>
            <w:tcW w:w="9107" w:type="dxa"/>
          </w:tcPr>
          <w:p w14:paraId="1AF4C816">
            <w:pPr>
              <w:pStyle w:val="25"/>
              <w:framePr w:wrap="around"/>
              <w:ind w:left="0" w:leftChars="0" w:firstLine="0" w:firstLineChars="0"/>
              <w:rPr>
                <w:rFonts w:hAnsiTheme="minorHAnsi" w:cstheme="minorBidi"/>
              </w:rPr>
            </w:pPr>
          </w:p>
          <w:p w14:paraId="3BACA42C">
            <w:pPr>
              <w:pStyle w:val="25"/>
              <w:framePr w:wrap="around"/>
              <w:rPr>
                <w:rFonts w:hAnsiTheme="minorHAnsi" w:cstheme="minorBidi"/>
              </w:rPr>
            </w:pPr>
            <w:r>
              <w:rPr>
                <w:rFonts w:hAnsiTheme="minorHAnsi" w:cstheme="minorBidi"/>
              </w:rPr>
              <w:t xml:space="preserve"> </w:t>
            </w:r>
          </w:p>
        </w:tc>
      </w:tr>
    </w:tbl>
    <w:p w14:paraId="7E756EE6">
      <w:pPr>
        <w:rPr>
          <w:rFonts w:hint="eastAsia"/>
        </w:rPr>
        <w:sectPr>
          <w:pgSz w:w="11906" w:h="16838"/>
          <w:pgMar w:top="1440" w:right="1800" w:bottom="1440" w:left="1800" w:header="851" w:footer="992" w:gutter="0"/>
          <w:cols w:space="425" w:num="1"/>
          <w:docGrid w:type="lines" w:linePitch="312" w:charSpace="0"/>
        </w:sectPr>
      </w:pPr>
    </w:p>
    <w:p w14:paraId="7A2C7805">
      <w:pPr>
        <w:jc w:val="center"/>
        <w:rPr>
          <w:rFonts w:hint="eastAsia" w:ascii="黑体" w:hAnsi="黑体" w:eastAsia="黑体"/>
          <w:bCs/>
          <w:sz w:val="32"/>
          <w:szCs w:val="32"/>
        </w:rPr>
      </w:pPr>
      <w:r>
        <w:rPr>
          <w:rFonts w:hint="eastAsia" w:ascii="黑体" w:hAnsi="黑体" w:eastAsia="黑体"/>
          <w:bCs/>
          <w:sz w:val="32"/>
          <w:szCs w:val="32"/>
        </w:rPr>
        <w:t>前   言</w:t>
      </w:r>
    </w:p>
    <w:p w14:paraId="17054B6F">
      <w:pPr>
        <w:ind w:firstLine="420" w:firstLineChars="200"/>
        <w:rPr>
          <w:rFonts w:hint="eastAsia" w:ascii="宋体" w:hAnsi="宋体" w:eastAsia="宋体"/>
        </w:rPr>
      </w:pPr>
      <w:r>
        <w:rPr>
          <w:rFonts w:hint="eastAsia" w:ascii="宋体" w:hAnsi="宋体" w:eastAsia="宋体"/>
        </w:rPr>
        <w:t>本文件按照 GB/T 1.1-2020《标准化工作导则 第1部分：标准化文件的结构和起草规则》的规则起草。</w:t>
      </w:r>
    </w:p>
    <w:p w14:paraId="412B9F4A">
      <w:pPr>
        <w:ind w:firstLine="420" w:firstLineChars="200"/>
        <w:rPr>
          <w:rFonts w:hint="eastAsia" w:ascii="宋体" w:hAnsi="宋体" w:eastAsia="宋体"/>
        </w:rPr>
      </w:pPr>
      <w:r>
        <w:rPr>
          <w:rFonts w:hint="eastAsia" w:ascii="宋体" w:hAnsi="宋体" w:eastAsia="宋体"/>
        </w:rPr>
        <w:t>请注意本文件的某些内容可能涉及专利，本文件的发布机构不承担识别专利的责任。</w:t>
      </w:r>
    </w:p>
    <w:p w14:paraId="418ABC0A">
      <w:pPr>
        <w:ind w:firstLine="420" w:firstLineChars="200"/>
        <w:rPr>
          <w:rFonts w:hint="eastAsia" w:ascii="宋体" w:hAnsi="宋体" w:eastAsia="宋体"/>
        </w:rPr>
      </w:pPr>
      <w:r>
        <w:rPr>
          <w:rFonts w:hint="eastAsia" w:ascii="宋体" w:hAnsi="宋体" w:eastAsia="宋体"/>
        </w:rPr>
        <w:t>本文件由中国绿色食品发展中心提出。</w:t>
      </w:r>
    </w:p>
    <w:p w14:paraId="025CA387">
      <w:pPr>
        <w:ind w:firstLine="420" w:firstLineChars="200"/>
        <w:rPr>
          <w:rFonts w:hint="eastAsia" w:ascii="宋体" w:hAnsi="宋体" w:eastAsia="宋体"/>
        </w:rPr>
      </w:pPr>
      <w:r>
        <w:rPr>
          <w:rFonts w:hint="eastAsia" w:ascii="宋体" w:hAnsi="宋体" w:eastAsia="宋体"/>
        </w:rPr>
        <w:t>本文件由中国绿色食品协会归口。</w:t>
      </w:r>
    </w:p>
    <w:p w14:paraId="36FA27FE">
      <w:pPr>
        <w:ind w:firstLine="420" w:firstLineChars="200"/>
        <w:rPr>
          <w:rFonts w:hint="eastAsia" w:ascii="宋体" w:hAnsi="宋体" w:eastAsia="宋体"/>
          <w:b/>
          <w:lang w:eastAsia="zh-CN"/>
        </w:rPr>
      </w:pPr>
      <w:bookmarkStart w:id="3" w:name="_Hlk224907853"/>
      <w:r>
        <w:rPr>
          <w:rFonts w:hint="eastAsia" w:ascii="宋体" w:hAnsi="宋体" w:eastAsia="宋体"/>
        </w:rPr>
        <w:t>本标准起草单位：</w:t>
      </w:r>
      <w:r>
        <w:rPr>
          <w:rFonts w:hint="eastAsia" w:ascii="宋体" w:hAnsi="宋体" w:eastAsia="宋体"/>
          <w:lang w:val="en-US" w:eastAsia="zh-CN"/>
        </w:rPr>
        <w:t>*</w:t>
      </w:r>
      <w:bookmarkStart w:id="15" w:name="_GoBack"/>
      <w:bookmarkEnd w:id="15"/>
    </w:p>
    <w:p w14:paraId="35DD0CB9">
      <w:pPr>
        <w:ind w:firstLine="420" w:firstLineChars="200"/>
        <w:rPr>
          <w:rFonts w:hint="eastAsia" w:ascii="宋体" w:hAnsi="宋体" w:eastAsia="宋体"/>
          <w:lang w:eastAsia="zh-CN"/>
        </w:rPr>
      </w:pPr>
      <w:r>
        <w:rPr>
          <w:rFonts w:hint="eastAsia" w:ascii="宋体" w:hAnsi="宋体" w:eastAsia="宋体"/>
        </w:rPr>
        <w:t>本标准主要起草人：</w:t>
      </w:r>
      <w:r>
        <w:rPr>
          <w:rFonts w:hint="eastAsia" w:ascii="宋体" w:hAnsi="宋体" w:eastAsia="宋体"/>
          <w:bCs/>
          <w:lang w:val="en-US" w:eastAsia="zh-CN"/>
        </w:rPr>
        <w:t>*</w:t>
      </w:r>
    </w:p>
    <w:bookmarkEnd w:id="3"/>
    <w:p w14:paraId="7C3DF0B1">
      <w:pPr>
        <w:ind w:firstLine="420" w:firstLineChars="200"/>
        <w:rPr>
          <w:rFonts w:hint="eastAsia" w:ascii="宋体" w:hAnsi="宋体" w:eastAsia="宋体"/>
        </w:rPr>
      </w:pPr>
      <w:bookmarkStart w:id="4" w:name="OLE_LINK16"/>
      <w:bookmarkStart w:id="5" w:name="OLE_LINK15"/>
      <w:r>
        <w:rPr>
          <w:rFonts w:hint="eastAsia" w:ascii="宋体" w:hAnsi="宋体" w:eastAsia="宋体" w:cs="宋体"/>
          <w:kern w:val="0"/>
          <w:szCs w:val="21"/>
        </w:rPr>
        <w:t>本文件批准发布后，因个别内容需要进行修改，或者对原文件内容进行增减时，可采用修改单方式修改本文件。</w:t>
      </w:r>
    </w:p>
    <w:bookmarkEnd w:id="4"/>
    <w:bookmarkEnd w:id="5"/>
    <w:p w14:paraId="6F47AE2F">
      <w:pPr>
        <w:ind w:firstLine="420" w:firstLineChars="200"/>
        <w:rPr>
          <w:rFonts w:hint="eastAsia" w:ascii="宋体" w:hAnsi="宋体" w:eastAsia="宋体"/>
        </w:rPr>
      </w:pPr>
      <w:r>
        <w:rPr>
          <w:rFonts w:hint="eastAsia" w:ascii="宋体" w:hAnsi="宋体" w:eastAsia="宋体"/>
        </w:rPr>
        <w:t>本文件为首次制定。</w:t>
      </w:r>
    </w:p>
    <w:p w14:paraId="2BF232E4">
      <w:pPr>
        <w:rPr>
          <w:rFonts w:hint="eastAsia"/>
        </w:rPr>
      </w:pPr>
    </w:p>
    <w:p w14:paraId="05972B60">
      <w:pPr>
        <w:rPr>
          <w:rFonts w:hint="eastAsia"/>
        </w:rPr>
        <w:sectPr>
          <w:pgSz w:w="11906" w:h="16838"/>
          <w:pgMar w:top="1440" w:right="1800" w:bottom="1440" w:left="1800" w:header="851" w:footer="992" w:gutter="0"/>
          <w:cols w:space="425" w:num="1"/>
          <w:docGrid w:type="lines" w:linePitch="312" w:charSpace="0"/>
        </w:sectPr>
      </w:pPr>
    </w:p>
    <w:p w14:paraId="1367AD7C">
      <w:pPr>
        <w:widowControl/>
        <w:ind w:firstLine="960" w:firstLineChars="300"/>
        <w:jc w:val="left"/>
        <w:rPr>
          <w:rFonts w:hint="eastAsia" w:ascii="黑体" w:hAnsi="黑体" w:eastAsia="黑体" w:cs="黑体"/>
          <w:kern w:val="0"/>
          <w:sz w:val="32"/>
          <w:szCs w:val="32"/>
        </w:rPr>
      </w:pPr>
      <w:r>
        <w:rPr>
          <w:rFonts w:hint="eastAsia" w:ascii="黑体" w:hAnsi="黑体" w:eastAsia="黑体" w:cs="黑体"/>
          <w:kern w:val="0"/>
          <w:sz w:val="32"/>
          <w:szCs w:val="32"/>
        </w:rPr>
        <w:t>绿色食品 江苏浙江葡萄生产操作规程</w:t>
      </w:r>
    </w:p>
    <w:p w14:paraId="0B773CF3">
      <w:pPr>
        <w:pStyle w:val="30"/>
        <w:numPr>
          <w:ilvl w:val="0"/>
          <w:numId w:val="1"/>
        </w:numPr>
        <w:spacing w:before="312" w:after="312"/>
      </w:pPr>
      <w:r>
        <w:rPr>
          <w:rFonts w:hint="eastAsia"/>
        </w:rPr>
        <w:t>范围</w:t>
      </w:r>
    </w:p>
    <w:p w14:paraId="56975214">
      <w:pPr>
        <w:ind w:firstLine="420" w:firstLineChars="200"/>
        <w:rPr>
          <w:rFonts w:hint="eastAsia" w:ascii="宋体" w:hAnsi="宋体" w:eastAsia="宋体" w:cs="仿宋"/>
          <w:bCs/>
          <w:szCs w:val="21"/>
        </w:rPr>
      </w:pPr>
      <w:bookmarkStart w:id="6" w:name="_Hlk172796474"/>
      <w:r>
        <w:rPr>
          <w:rFonts w:hint="eastAsia" w:ascii="宋体" w:hAnsi="宋体" w:eastAsia="宋体" w:cs="仿宋"/>
          <w:bCs/>
          <w:szCs w:val="21"/>
        </w:rPr>
        <w:t>本文件规定了了江苏和浙江绿色食品葡萄生产的</w:t>
      </w:r>
      <w:bookmarkStart w:id="7" w:name="_Hlk225170766"/>
      <w:r>
        <w:rPr>
          <w:rFonts w:hint="eastAsia" w:ascii="宋体" w:hAnsi="宋体" w:eastAsia="宋体" w:cs="仿宋"/>
          <w:bCs/>
          <w:szCs w:val="21"/>
        </w:rPr>
        <w:t>园地要求、栽培方式与架式、建园、土肥水管理、花果管理、树体管理、病虫害防治、采收、生产废弃物处理、整理与储藏及生产档案管理。</w:t>
      </w:r>
    </w:p>
    <w:bookmarkEnd w:id="7"/>
    <w:p w14:paraId="7869F404">
      <w:pPr>
        <w:ind w:firstLine="420" w:firstLineChars="200"/>
        <w:rPr>
          <w:rFonts w:hint="eastAsia" w:ascii="宋体" w:hAnsi="宋体" w:eastAsia="宋体" w:cs="仿宋_GB2312"/>
          <w:bCs/>
          <w:szCs w:val="21"/>
        </w:rPr>
      </w:pPr>
      <w:r>
        <w:rPr>
          <w:rFonts w:hint="eastAsia" w:ascii="宋体" w:hAnsi="宋体" w:eastAsia="宋体" w:cs="仿宋"/>
          <w:bCs/>
          <w:szCs w:val="21"/>
        </w:rPr>
        <w:t>本文件适用于江苏和浙江的绿色食品葡萄生产。</w:t>
      </w:r>
    </w:p>
    <w:bookmarkEnd w:id="6"/>
    <w:p w14:paraId="423E3D81">
      <w:pPr>
        <w:pStyle w:val="30"/>
        <w:numPr>
          <w:ilvl w:val="0"/>
          <w:numId w:val="1"/>
        </w:numPr>
        <w:spacing w:before="312" w:after="312"/>
      </w:pPr>
      <w:r>
        <w:rPr>
          <w:rFonts w:hint="eastAsia"/>
        </w:rPr>
        <w:t>规范性引用文件</w:t>
      </w:r>
    </w:p>
    <w:p w14:paraId="68CA6004">
      <w:pPr>
        <w:pStyle w:val="31"/>
        <w:ind w:firstLine="420"/>
        <w:rPr>
          <w:rFonts w:hAnsi="宋体" w:cs="仿宋"/>
          <w:bCs/>
          <w:szCs w:val="21"/>
        </w:rPr>
      </w:pPr>
      <w:sdt>
        <w:sdtPr>
          <w:tag w:val="StandNameFile"/>
          <w:id w:val="147452692"/>
          <w:placeholder>
            <w:docPart w:val="BB8A8EDF21F74C1FBAC0286AFD73E5CC"/>
          </w:placeholder>
          <w:comboBox>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comboBox>
        </w:sdtPr>
        <w:sdtContent>
          <w:r>
            <w:t>下列文件中的内容通过文中的规范性引用而构成本文件必不可少的条款。其中，注日期的引用文件，仅该日期对应的版本适用于本文件；不注日期的引用文件，其最新版本（包括所有的修改单）适用于本文件。</w:t>
          </w:r>
        </w:sdtContent>
      </w:sdt>
    </w:p>
    <w:p w14:paraId="7090E1B4">
      <w:pPr>
        <w:ind w:firstLine="420"/>
        <w:rPr>
          <w:rFonts w:hint="eastAsia" w:ascii="宋体" w:hAnsi="宋体" w:eastAsia="宋体" w:cs="仿宋"/>
          <w:bCs/>
          <w:szCs w:val="21"/>
        </w:rPr>
      </w:pPr>
      <w:bookmarkStart w:id="8" w:name="OLE_LINK5"/>
      <w:r>
        <w:rPr>
          <w:rFonts w:ascii="宋体" w:hAnsi="宋体" w:eastAsia="宋体" w:cs="仿宋"/>
          <w:bCs/>
          <w:szCs w:val="21"/>
        </w:rPr>
        <w:t xml:space="preserve">NY/T 391  </w:t>
      </w:r>
      <w:r>
        <w:rPr>
          <w:rFonts w:hint="eastAsia" w:ascii="宋体" w:hAnsi="宋体" w:eastAsia="宋体" w:cs="仿宋"/>
          <w:bCs/>
          <w:szCs w:val="21"/>
        </w:rPr>
        <w:tab/>
      </w:r>
      <w:r>
        <w:rPr>
          <w:rFonts w:ascii="宋体" w:hAnsi="宋体" w:eastAsia="宋体" w:cs="仿宋"/>
          <w:bCs/>
          <w:szCs w:val="21"/>
        </w:rPr>
        <w:t>绿色食品</w:t>
      </w:r>
      <w:r>
        <w:rPr>
          <w:rFonts w:hint="eastAsia" w:ascii="宋体" w:hAnsi="宋体" w:eastAsia="宋体" w:cs="仿宋"/>
          <w:bCs/>
          <w:szCs w:val="21"/>
        </w:rPr>
        <w:t xml:space="preserve"> </w:t>
      </w:r>
      <w:r>
        <w:rPr>
          <w:rFonts w:ascii="宋体" w:hAnsi="宋体" w:eastAsia="宋体" w:cs="仿宋"/>
          <w:bCs/>
          <w:szCs w:val="21"/>
        </w:rPr>
        <w:t>产地环境质量</w:t>
      </w:r>
    </w:p>
    <w:p w14:paraId="012FAAE9">
      <w:pPr>
        <w:ind w:firstLine="420"/>
        <w:rPr>
          <w:rFonts w:hint="eastAsia" w:ascii="宋体" w:hAnsi="宋体" w:eastAsia="宋体" w:cs="仿宋"/>
          <w:bCs/>
          <w:szCs w:val="21"/>
        </w:rPr>
      </w:pPr>
      <w:r>
        <w:rPr>
          <w:rFonts w:ascii="宋体" w:hAnsi="宋体" w:eastAsia="宋体" w:cs="仿宋"/>
          <w:bCs/>
          <w:szCs w:val="21"/>
        </w:rPr>
        <w:t xml:space="preserve">NY/T 393  </w:t>
      </w:r>
      <w:r>
        <w:rPr>
          <w:rFonts w:hint="eastAsia" w:ascii="宋体" w:hAnsi="宋体" w:eastAsia="宋体" w:cs="仿宋"/>
          <w:bCs/>
          <w:szCs w:val="21"/>
        </w:rPr>
        <w:tab/>
      </w:r>
      <w:r>
        <w:rPr>
          <w:rFonts w:ascii="宋体" w:hAnsi="宋体" w:eastAsia="宋体" w:cs="仿宋"/>
          <w:bCs/>
          <w:szCs w:val="21"/>
        </w:rPr>
        <w:t>绿色食品</w:t>
      </w:r>
      <w:r>
        <w:rPr>
          <w:rFonts w:hint="eastAsia" w:ascii="宋体" w:hAnsi="宋体" w:eastAsia="宋体" w:cs="仿宋"/>
          <w:bCs/>
          <w:szCs w:val="21"/>
        </w:rPr>
        <w:t xml:space="preserve"> </w:t>
      </w:r>
      <w:r>
        <w:rPr>
          <w:rFonts w:ascii="宋体" w:hAnsi="宋体" w:eastAsia="宋体" w:cs="仿宋"/>
          <w:bCs/>
          <w:szCs w:val="21"/>
        </w:rPr>
        <w:t>农药使用准则</w:t>
      </w:r>
    </w:p>
    <w:p w14:paraId="1CBC4B25">
      <w:pPr>
        <w:ind w:firstLine="420"/>
        <w:rPr>
          <w:rFonts w:hint="eastAsia" w:ascii="宋体" w:hAnsi="宋体" w:eastAsia="宋体" w:cs="仿宋"/>
          <w:bCs/>
          <w:szCs w:val="21"/>
        </w:rPr>
      </w:pPr>
      <w:r>
        <w:rPr>
          <w:rFonts w:ascii="宋体" w:hAnsi="宋体" w:eastAsia="宋体" w:cs="仿宋"/>
          <w:bCs/>
          <w:szCs w:val="21"/>
        </w:rPr>
        <w:t xml:space="preserve">NY/T 394  </w:t>
      </w:r>
      <w:r>
        <w:rPr>
          <w:rFonts w:hint="eastAsia" w:ascii="宋体" w:hAnsi="宋体" w:eastAsia="宋体" w:cs="仿宋"/>
          <w:bCs/>
          <w:szCs w:val="21"/>
        </w:rPr>
        <w:tab/>
      </w:r>
      <w:r>
        <w:rPr>
          <w:rFonts w:ascii="宋体" w:hAnsi="宋体" w:eastAsia="宋体" w:cs="仿宋"/>
          <w:bCs/>
          <w:szCs w:val="21"/>
        </w:rPr>
        <w:t>绿色食品</w:t>
      </w:r>
      <w:r>
        <w:rPr>
          <w:rFonts w:hint="eastAsia" w:ascii="宋体" w:hAnsi="宋体" w:eastAsia="宋体" w:cs="仿宋"/>
          <w:bCs/>
          <w:szCs w:val="21"/>
        </w:rPr>
        <w:t xml:space="preserve"> </w:t>
      </w:r>
      <w:r>
        <w:rPr>
          <w:rFonts w:ascii="宋体" w:hAnsi="宋体" w:eastAsia="宋体" w:cs="仿宋"/>
          <w:bCs/>
          <w:szCs w:val="21"/>
        </w:rPr>
        <w:t>肥料使用准则</w:t>
      </w:r>
    </w:p>
    <w:p w14:paraId="2DD02255">
      <w:pPr>
        <w:ind w:firstLine="420"/>
        <w:rPr>
          <w:rFonts w:hint="eastAsia" w:ascii="宋体" w:hAnsi="宋体" w:eastAsia="宋体" w:cs="仿宋"/>
          <w:bCs/>
          <w:szCs w:val="21"/>
        </w:rPr>
      </w:pPr>
      <w:r>
        <w:rPr>
          <w:rFonts w:ascii="宋体" w:hAnsi="宋体" w:eastAsia="宋体" w:cs="仿宋"/>
          <w:bCs/>
          <w:szCs w:val="21"/>
        </w:rPr>
        <w:t xml:space="preserve">NY/T658 </w:t>
      </w:r>
      <w:r>
        <w:rPr>
          <w:rFonts w:hint="eastAsia" w:ascii="宋体" w:hAnsi="宋体" w:eastAsia="宋体" w:cs="仿宋"/>
          <w:bCs/>
          <w:szCs w:val="21"/>
        </w:rPr>
        <w:tab/>
      </w:r>
      <w:r>
        <w:rPr>
          <w:rFonts w:ascii="宋体" w:hAnsi="宋体" w:eastAsia="宋体" w:cs="仿宋"/>
          <w:bCs/>
          <w:szCs w:val="21"/>
        </w:rPr>
        <w:t>绿色食品</w:t>
      </w:r>
      <w:r>
        <w:rPr>
          <w:rFonts w:hint="eastAsia" w:ascii="宋体" w:hAnsi="宋体" w:eastAsia="宋体" w:cs="仿宋"/>
          <w:bCs/>
          <w:szCs w:val="21"/>
        </w:rPr>
        <w:t xml:space="preserve"> </w:t>
      </w:r>
      <w:r>
        <w:rPr>
          <w:rFonts w:ascii="宋体" w:hAnsi="宋体" w:eastAsia="宋体" w:cs="仿宋"/>
          <w:bCs/>
          <w:szCs w:val="21"/>
        </w:rPr>
        <w:t>包装通用准则</w:t>
      </w:r>
    </w:p>
    <w:p w14:paraId="24C1D7B2">
      <w:pPr>
        <w:ind w:firstLine="420"/>
        <w:rPr>
          <w:rFonts w:hint="eastAsia" w:ascii="宋体" w:hAnsi="宋体" w:eastAsia="宋体" w:cs="仿宋"/>
          <w:bCs/>
          <w:szCs w:val="21"/>
        </w:rPr>
      </w:pPr>
      <w:bookmarkStart w:id="9" w:name="_Hlk224910703"/>
      <w:r>
        <w:rPr>
          <w:rFonts w:ascii="宋体" w:hAnsi="宋体" w:eastAsia="宋体" w:cs="仿宋"/>
          <w:bCs/>
          <w:szCs w:val="21"/>
        </w:rPr>
        <w:t xml:space="preserve">NY/T1056 </w:t>
      </w:r>
      <w:r>
        <w:rPr>
          <w:rFonts w:hint="eastAsia" w:ascii="宋体" w:hAnsi="宋体" w:eastAsia="宋体" w:cs="仿宋"/>
          <w:bCs/>
          <w:szCs w:val="21"/>
        </w:rPr>
        <w:tab/>
      </w:r>
      <w:r>
        <w:rPr>
          <w:rFonts w:ascii="宋体" w:hAnsi="宋体" w:eastAsia="宋体" w:cs="仿宋"/>
          <w:bCs/>
          <w:szCs w:val="21"/>
        </w:rPr>
        <w:t>绿色食品</w:t>
      </w:r>
      <w:r>
        <w:rPr>
          <w:rFonts w:hint="eastAsia" w:ascii="宋体" w:hAnsi="宋体" w:eastAsia="宋体" w:cs="仿宋"/>
          <w:bCs/>
          <w:szCs w:val="21"/>
        </w:rPr>
        <w:t xml:space="preserve"> 储藏</w:t>
      </w:r>
      <w:r>
        <w:rPr>
          <w:rFonts w:ascii="宋体" w:hAnsi="宋体" w:eastAsia="宋体" w:cs="仿宋"/>
          <w:bCs/>
          <w:szCs w:val="21"/>
        </w:rPr>
        <w:t>运输准则</w:t>
      </w:r>
    </w:p>
    <w:bookmarkEnd w:id="9"/>
    <w:p w14:paraId="3B7C7FB6">
      <w:pPr>
        <w:ind w:firstLine="420"/>
        <w:rPr>
          <w:rFonts w:hint="eastAsia" w:ascii="宋体" w:hAnsi="宋体" w:eastAsia="宋体" w:cs="仿宋"/>
          <w:bCs/>
          <w:szCs w:val="21"/>
        </w:rPr>
      </w:pPr>
      <w:r>
        <w:rPr>
          <w:rFonts w:ascii="宋体" w:hAnsi="宋体" w:eastAsia="宋体" w:cs="仿宋"/>
          <w:bCs/>
          <w:szCs w:val="21"/>
        </w:rPr>
        <w:t xml:space="preserve">NY 469  </w:t>
      </w:r>
      <w:r>
        <w:rPr>
          <w:rFonts w:hint="eastAsia" w:ascii="宋体" w:hAnsi="宋体" w:eastAsia="宋体" w:cs="仿宋"/>
          <w:bCs/>
          <w:szCs w:val="21"/>
        </w:rPr>
        <w:tab/>
      </w:r>
      <w:r>
        <w:rPr>
          <w:rFonts w:ascii="宋体" w:hAnsi="宋体" w:eastAsia="宋体" w:cs="仿宋"/>
          <w:bCs/>
          <w:szCs w:val="21"/>
        </w:rPr>
        <w:t>葡萄苗木</w:t>
      </w:r>
    </w:p>
    <w:p w14:paraId="323C3DDD">
      <w:pPr>
        <w:ind w:firstLine="420"/>
        <w:rPr>
          <w:rFonts w:hint="eastAsia" w:ascii="宋体" w:hAnsi="宋体" w:eastAsia="宋体" w:cs="仿宋"/>
          <w:bCs/>
          <w:szCs w:val="21"/>
        </w:rPr>
      </w:pPr>
      <w:r>
        <w:rPr>
          <w:rFonts w:hint="eastAsia" w:ascii="宋体" w:hAnsi="宋体" w:eastAsia="宋体" w:cs="仿宋"/>
          <w:bCs/>
          <w:szCs w:val="21"/>
        </w:rPr>
        <w:t>DB32/T 602  葡萄水平棚架式栽培生产技术规程</w:t>
      </w:r>
    </w:p>
    <w:p w14:paraId="25CD2B95">
      <w:pPr>
        <w:ind w:firstLine="420"/>
        <w:rPr>
          <w:rFonts w:hint="eastAsia" w:ascii="宋体" w:hAnsi="宋体" w:eastAsia="宋体" w:cs="仿宋"/>
          <w:bCs/>
          <w:szCs w:val="21"/>
        </w:rPr>
      </w:pPr>
      <w:r>
        <w:rPr>
          <w:rFonts w:hint="eastAsia" w:ascii="宋体" w:hAnsi="宋体" w:eastAsia="宋体" w:cs="仿宋"/>
          <w:bCs/>
          <w:szCs w:val="21"/>
        </w:rPr>
        <w:t>DB32/T 1154  美人指葡萄避雨栽培生产技术规程</w:t>
      </w:r>
    </w:p>
    <w:bookmarkEnd w:id="8"/>
    <w:p w14:paraId="602A6772">
      <w:pPr>
        <w:pStyle w:val="30"/>
        <w:numPr>
          <w:ilvl w:val="0"/>
          <w:numId w:val="1"/>
        </w:numPr>
        <w:spacing w:before="312" w:after="312"/>
      </w:pPr>
      <w:bookmarkStart w:id="10" w:name="OLE_LINK17"/>
      <w:r>
        <w:rPr>
          <w:rFonts w:hint="eastAsia"/>
        </w:rPr>
        <w:t>园地要求</w:t>
      </w:r>
    </w:p>
    <w:p w14:paraId="1DE92454">
      <w:pPr>
        <w:rPr>
          <w:rFonts w:hint="eastAsia" w:ascii="黑体" w:hAnsi="黑体" w:eastAsia="黑体"/>
        </w:rPr>
      </w:pPr>
      <w:r>
        <w:rPr>
          <w:rFonts w:hint="eastAsia" w:ascii="黑体" w:hAnsi="黑体" w:eastAsia="黑体"/>
        </w:rPr>
        <w:t>3.1 产地环境</w:t>
      </w:r>
    </w:p>
    <w:bookmarkEnd w:id="10"/>
    <w:p w14:paraId="5322A8F1">
      <w:pPr>
        <w:ind w:firstLine="420" w:firstLineChars="200"/>
        <w:rPr>
          <w:rFonts w:hint="eastAsia" w:ascii="宋体" w:hAnsi="宋体" w:eastAsia="宋体" w:cs="仿宋"/>
          <w:bCs/>
          <w:szCs w:val="21"/>
        </w:rPr>
      </w:pPr>
      <w:r>
        <w:rPr>
          <w:rFonts w:hint="eastAsia" w:ascii="宋体" w:hAnsi="宋体" w:eastAsia="宋体" w:cs="仿宋"/>
          <w:bCs/>
          <w:szCs w:val="21"/>
        </w:rPr>
        <w:t>无污染和生态条件良好,离主干道200m以上。园地灌溉水、土壤环境和大气环境应符合NY/T 391的规定。</w:t>
      </w:r>
    </w:p>
    <w:p w14:paraId="02EEC522">
      <w:pPr>
        <w:rPr>
          <w:rFonts w:hint="eastAsia" w:ascii="黑体" w:hAnsi="黑体" w:eastAsia="黑体" w:cs="Times New Roman"/>
          <w:szCs w:val="21"/>
        </w:rPr>
      </w:pPr>
      <w:bookmarkStart w:id="11" w:name="_Hlk172796677"/>
      <w:r>
        <w:rPr>
          <w:rFonts w:hint="eastAsia" w:ascii="黑体" w:hAnsi="黑体" w:eastAsia="黑体" w:cs="Times New Roman"/>
          <w:szCs w:val="21"/>
        </w:rPr>
        <w:t>3.2 园地选择</w:t>
      </w:r>
    </w:p>
    <w:p w14:paraId="1D0D4CB8">
      <w:pPr>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选择地形开阔、阳光充足、通风良好、地下水位0.8m以下、土壤pH在6.5～7.5的园地。</w:t>
      </w:r>
    </w:p>
    <w:p w14:paraId="2244FE7F">
      <w:pPr>
        <w:rPr>
          <w:rFonts w:hint="eastAsia" w:ascii="黑体" w:hAnsi="黑体" w:eastAsia="黑体" w:cs="Times New Roman"/>
          <w:szCs w:val="21"/>
        </w:rPr>
      </w:pPr>
      <w:r>
        <w:rPr>
          <w:rFonts w:hint="eastAsia" w:ascii="黑体" w:hAnsi="黑体" w:eastAsia="黑体" w:cs="Times New Roman"/>
          <w:szCs w:val="21"/>
        </w:rPr>
        <w:t>3.3 园地规划</w:t>
      </w:r>
    </w:p>
    <w:p w14:paraId="4BE41BD6">
      <w:pPr>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应根据园地条件、面积、栽培方式和栽培架式进行规划，园地面积较大时，应划分小区，每个作业小区以长100m、宽度50m～100m为宜，小区间留作业道。搞好道路、排灌系统、水土保持工程等基础设施建设。园地四周建防风林，树种以乔木为主，应避免与葡萄共生病虫互相传播。</w:t>
      </w:r>
    </w:p>
    <w:p w14:paraId="30A04892">
      <w:pPr>
        <w:rPr>
          <w:rFonts w:hint="eastAsia" w:ascii="黑体" w:hAnsi="黑体" w:eastAsia="黑体" w:cs="Times New Roman"/>
          <w:szCs w:val="21"/>
        </w:rPr>
      </w:pPr>
    </w:p>
    <w:p w14:paraId="090CC872">
      <w:pPr>
        <w:rPr>
          <w:rFonts w:hint="eastAsia" w:ascii="黑体" w:hAnsi="黑体" w:eastAsia="黑体" w:cs="Times New Roman"/>
          <w:szCs w:val="21"/>
        </w:rPr>
      </w:pPr>
      <w:r>
        <w:rPr>
          <w:rFonts w:hint="eastAsia" w:ascii="黑体" w:hAnsi="黑体" w:eastAsia="黑体" w:cs="Times New Roman"/>
          <w:szCs w:val="21"/>
        </w:rPr>
        <w:t>4   栽培方式与架式</w:t>
      </w:r>
    </w:p>
    <w:p w14:paraId="5574D0EF">
      <w:pPr>
        <w:rPr>
          <w:rFonts w:hint="eastAsia" w:ascii="黑体" w:hAnsi="黑体" w:eastAsia="黑体" w:cs="Times New Roman"/>
          <w:szCs w:val="21"/>
        </w:rPr>
      </w:pPr>
    </w:p>
    <w:p w14:paraId="4A727FE0">
      <w:pPr>
        <w:rPr>
          <w:rFonts w:hint="eastAsia" w:ascii="黑体" w:hAnsi="黑体" w:eastAsia="黑体" w:cs="Times New Roman"/>
          <w:szCs w:val="21"/>
        </w:rPr>
      </w:pPr>
      <w:r>
        <w:rPr>
          <w:rFonts w:ascii="黑体" w:hAnsi="黑体" w:eastAsia="黑体" w:cs="Times New Roman"/>
          <w:szCs w:val="21"/>
        </w:rPr>
        <w:t>4.1</w:t>
      </w:r>
      <w:r>
        <w:rPr>
          <w:rFonts w:hint="eastAsia" w:ascii="黑体" w:hAnsi="黑体" w:eastAsia="黑体" w:cs="Times New Roman"/>
          <w:szCs w:val="21"/>
        </w:rPr>
        <w:t xml:space="preserve"> 栽培方式</w:t>
      </w:r>
    </w:p>
    <w:p w14:paraId="25A092A3">
      <w:pPr>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避雨栽培、先期促成栽培后期避雨栽培、促成栽培或露地栽培。江苏、浙江等南部地区葡萄生长季节高温多雨，宜选择避雨或促成避雨栽培方式。避雨栽培按照DB32/T 875和DB32/T 1154要求执行。</w:t>
      </w:r>
    </w:p>
    <w:p w14:paraId="1C263E06">
      <w:pPr>
        <w:rPr>
          <w:rFonts w:hint="eastAsia" w:ascii="黑体" w:hAnsi="黑体" w:eastAsia="黑体" w:cs="Times New Roman"/>
          <w:szCs w:val="21"/>
        </w:rPr>
      </w:pPr>
      <w:r>
        <w:rPr>
          <w:rFonts w:ascii="黑体" w:hAnsi="黑体" w:eastAsia="黑体" w:cs="Times New Roman"/>
          <w:szCs w:val="21"/>
        </w:rPr>
        <w:t>4.2</w:t>
      </w:r>
      <w:r>
        <w:rPr>
          <w:rFonts w:hint="eastAsia" w:ascii="黑体" w:hAnsi="黑体" w:eastAsia="黑体" w:cs="Times New Roman"/>
          <w:szCs w:val="21"/>
        </w:rPr>
        <w:t xml:space="preserve"> 栽培架式</w:t>
      </w:r>
    </w:p>
    <w:p w14:paraId="0226389C">
      <w:pPr>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连栋大棚、单体大棚宜选H型水平棚架，架式按照DB32/T 602要求执行；简易避雨棚宜选“高宽垂”T型架，架式按照DB32/T 875要求执行。</w:t>
      </w:r>
    </w:p>
    <w:p w14:paraId="422B68F2">
      <w:pPr>
        <w:rPr>
          <w:rFonts w:hint="eastAsia" w:ascii="黑体" w:hAnsi="黑体" w:eastAsia="黑体" w:cs="Times New Roman"/>
          <w:szCs w:val="21"/>
        </w:rPr>
      </w:pPr>
    </w:p>
    <w:p w14:paraId="0F5676A4">
      <w:pPr>
        <w:rPr>
          <w:rFonts w:hint="eastAsia" w:ascii="黑体" w:hAnsi="黑体" w:eastAsia="黑体" w:cs="Times New Roman"/>
          <w:szCs w:val="21"/>
        </w:rPr>
      </w:pPr>
      <w:r>
        <w:rPr>
          <w:rFonts w:hint="eastAsia" w:ascii="黑体" w:hAnsi="黑体" w:eastAsia="黑体" w:cs="Times New Roman"/>
          <w:szCs w:val="21"/>
        </w:rPr>
        <w:t>5   建园</w:t>
      </w:r>
    </w:p>
    <w:p w14:paraId="5DA4D4DD">
      <w:pPr>
        <w:rPr>
          <w:rFonts w:ascii="Times New Roman" w:hAnsi="Times New Roman" w:eastAsia="宋体" w:cs="Times New Roman"/>
          <w:szCs w:val="21"/>
        </w:rPr>
      </w:pPr>
    </w:p>
    <w:p w14:paraId="03122D61">
      <w:pPr>
        <w:rPr>
          <w:rFonts w:hint="eastAsia" w:ascii="黑体" w:hAnsi="黑体" w:eastAsia="黑体" w:cs="Times New Roman"/>
          <w:szCs w:val="21"/>
        </w:rPr>
      </w:pPr>
      <w:r>
        <w:rPr>
          <w:rFonts w:ascii="黑体" w:hAnsi="黑体" w:eastAsia="黑体" w:cs="Times New Roman"/>
          <w:szCs w:val="21"/>
        </w:rPr>
        <w:t xml:space="preserve">5.1 </w:t>
      </w:r>
      <w:r>
        <w:rPr>
          <w:rFonts w:hint="eastAsia" w:ascii="黑体" w:hAnsi="黑体" w:eastAsia="黑体" w:cs="Times New Roman"/>
          <w:szCs w:val="21"/>
        </w:rPr>
        <w:t>品种选择</w:t>
      </w:r>
    </w:p>
    <w:p w14:paraId="6B638467">
      <w:pPr>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结合江苏、浙江气候特点、土壤特点和品种特性，选用抗逆性强、抗病、优质、高产、商品性好、适应市场需求的品种，品种搭配宜根据市场需求早、中、晚熟及红、紫、黄、黑、绿等色泽比例协调。</w:t>
      </w:r>
    </w:p>
    <w:p w14:paraId="63DB5D07">
      <w:pPr>
        <w:rPr>
          <w:rFonts w:hint="eastAsia" w:ascii="黑体" w:hAnsi="黑体" w:eastAsia="黑体" w:cs="Times New Roman"/>
          <w:szCs w:val="21"/>
        </w:rPr>
      </w:pPr>
      <w:r>
        <w:rPr>
          <w:rFonts w:ascii="黑体" w:hAnsi="黑体" w:eastAsia="黑体" w:cs="Times New Roman"/>
          <w:szCs w:val="21"/>
        </w:rPr>
        <w:t xml:space="preserve">5.2 </w:t>
      </w:r>
      <w:r>
        <w:rPr>
          <w:rFonts w:hint="eastAsia" w:ascii="黑体" w:hAnsi="黑体" w:eastAsia="黑体" w:cs="Times New Roman"/>
          <w:szCs w:val="21"/>
        </w:rPr>
        <w:t>砧木选择</w:t>
      </w:r>
    </w:p>
    <w:p w14:paraId="718CBED1">
      <w:pPr>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选用抗根瘤蚜、抗根结线虫、抗旱、耐涝、耐盐碱、嫁接亲和力强的砧木品种。宜用SO4、5BB等砧木品种。</w:t>
      </w:r>
    </w:p>
    <w:p w14:paraId="3F8139A2">
      <w:pPr>
        <w:rPr>
          <w:rFonts w:hint="eastAsia" w:ascii="黑体" w:hAnsi="黑体" w:eastAsia="黑体" w:cs="Times New Roman"/>
          <w:szCs w:val="21"/>
        </w:rPr>
      </w:pPr>
      <w:r>
        <w:rPr>
          <w:rFonts w:ascii="黑体" w:hAnsi="黑体" w:eastAsia="黑体" w:cs="Times New Roman"/>
          <w:szCs w:val="21"/>
        </w:rPr>
        <w:t xml:space="preserve">5.3 </w:t>
      </w:r>
      <w:r>
        <w:rPr>
          <w:rFonts w:hint="eastAsia" w:ascii="黑体" w:hAnsi="黑体" w:eastAsia="黑体" w:cs="Times New Roman"/>
          <w:szCs w:val="21"/>
        </w:rPr>
        <w:t>苗木质量</w:t>
      </w:r>
    </w:p>
    <w:p w14:paraId="5B8CD04B">
      <w:pPr>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苗木质量按NY/T 469 的规定执行。宜采用脱毒苗木。</w:t>
      </w:r>
    </w:p>
    <w:p w14:paraId="441FC249">
      <w:pPr>
        <w:rPr>
          <w:rFonts w:hint="eastAsia" w:ascii="黑体" w:hAnsi="黑体" w:eastAsia="黑体" w:cs="Times New Roman"/>
          <w:szCs w:val="21"/>
        </w:rPr>
      </w:pPr>
      <w:r>
        <w:rPr>
          <w:rFonts w:ascii="黑体" w:hAnsi="黑体" w:eastAsia="黑体" w:cs="Times New Roman"/>
          <w:szCs w:val="21"/>
        </w:rPr>
        <w:t xml:space="preserve">5.4 </w:t>
      </w:r>
      <w:r>
        <w:rPr>
          <w:rFonts w:hint="eastAsia" w:ascii="黑体" w:hAnsi="黑体" w:eastAsia="黑体" w:cs="Times New Roman"/>
          <w:szCs w:val="21"/>
        </w:rPr>
        <w:t>栽植时间</w:t>
      </w:r>
    </w:p>
    <w:p w14:paraId="116D39B9">
      <w:pPr>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从葡萄正常落叶后至第二年芽萌动前均可栽植，但以上冻前定植（秋栽）为好。</w:t>
      </w:r>
    </w:p>
    <w:p w14:paraId="264C2176">
      <w:pPr>
        <w:rPr>
          <w:rFonts w:hint="eastAsia" w:ascii="黑体" w:hAnsi="黑体" w:eastAsia="黑体" w:cs="Times New Roman"/>
          <w:szCs w:val="21"/>
        </w:rPr>
      </w:pPr>
      <w:r>
        <w:rPr>
          <w:rFonts w:ascii="黑体" w:hAnsi="黑体" w:eastAsia="黑体" w:cs="Times New Roman"/>
          <w:szCs w:val="21"/>
        </w:rPr>
        <w:t xml:space="preserve">5.5 </w:t>
      </w:r>
      <w:r>
        <w:rPr>
          <w:rFonts w:hint="eastAsia" w:ascii="黑体" w:hAnsi="黑体" w:eastAsia="黑体" w:cs="Times New Roman"/>
          <w:szCs w:val="21"/>
        </w:rPr>
        <w:t>定植密度</w:t>
      </w:r>
    </w:p>
    <w:p w14:paraId="51AC68A2">
      <w:pPr>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每亩定植株数依据品种、土壤和架式等而定。常见的栽培密度:连栋大棚架避雨限根栽培株行距8m×7～8m，每亩12～10株；单体小棚架株行距2.0m×4～6m，每亩83株～56株；篱架，株行距2.0m×2.5～3.0m，每亩133株～111株；</w:t>
      </w:r>
    </w:p>
    <w:p w14:paraId="5E36F49A">
      <w:pPr>
        <w:rPr>
          <w:rFonts w:hint="eastAsia" w:ascii="黑体" w:hAnsi="黑体" w:eastAsia="黑体" w:cs="Times New Roman"/>
          <w:szCs w:val="21"/>
        </w:rPr>
      </w:pPr>
      <w:r>
        <w:rPr>
          <w:rFonts w:ascii="黑体" w:hAnsi="黑体" w:eastAsia="黑体" w:cs="Times New Roman"/>
          <w:szCs w:val="21"/>
        </w:rPr>
        <w:t xml:space="preserve">5.6 </w:t>
      </w:r>
      <w:r>
        <w:rPr>
          <w:rFonts w:hint="eastAsia" w:ascii="黑体" w:hAnsi="黑体" w:eastAsia="黑体" w:cs="Times New Roman"/>
          <w:szCs w:val="21"/>
        </w:rPr>
        <w:t>定植方法</w:t>
      </w:r>
    </w:p>
    <w:p w14:paraId="7D52AB68">
      <w:pPr>
        <w:rPr>
          <w:rFonts w:hint="eastAsia" w:ascii="黑体" w:hAnsi="黑体" w:eastAsia="黑体" w:cs="Times New Roman"/>
          <w:szCs w:val="21"/>
        </w:rPr>
      </w:pPr>
      <w:r>
        <w:rPr>
          <w:rFonts w:ascii="黑体" w:hAnsi="黑体" w:eastAsia="黑体" w:cs="Times New Roman"/>
          <w:szCs w:val="21"/>
        </w:rPr>
        <w:t xml:space="preserve">5.6.1 </w:t>
      </w:r>
      <w:r>
        <w:rPr>
          <w:rFonts w:hint="eastAsia" w:ascii="黑体" w:hAnsi="黑体" w:eastAsia="黑体" w:cs="Times New Roman"/>
          <w:szCs w:val="21"/>
        </w:rPr>
        <w:t>沟、穴定植</w:t>
      </w:r>
    </w:p>
    <w:p w14:paraId="6786B176">
      <w:pPr>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定植穴直径40cm～60cm，深50cm～60cm。或定植沟宽40cm～60cm，深50cm～60cm。底部填腐熟有机肥，并分层放入伴有有机肥的沃土，最后填土高于垄面20cm～30cm.</w:t>
      </w:r>
    </w:p>
    <w:p w14:paraId="3552DF4C">
      <w:pPr>
        <w:rPr>
          <w:rFonts w:hint="eastAsia" w:ascii="黑体" w:hAnsi="黑体" w:eastAsia="黑体" w:cs="Times New Roman"/>
          <w:szCs w:val="21"/>
        </w:rPr>
      </w:pPr>
      <w:r>
        <w:rPr>
          <w:rFonts w:ascii="黑体" w:hAnsi="黑体" w:eastAsia="黑体" w:cs="Times New Roman"/>
          <w:szCs w:val="21"/>
        </w:rPr>
        <w:t xml:space="preserve">5.6.2 </w:t>
      </w:r>
      <w:r>
        <w:rPr>
          <w:rFonts w:hint="eastAsia" w:ascii="黑体" w:hAnsi="黑体" w:eastAsia="黑体" w:cs="Times New Roman"/>
          <w:szCs w:val="21"/>
        </w:rPr>
        <w:t>限根定植</w:t>
      </w:r>
    </w:p>
    <w:p w14:paraId="474D41DF">
      <w:pPr>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在避雨大棚中间按行距8m、株距7～8m建正方形或圆形限根畦，方形畦边长2 m、圆形畦直径2 m，畦高0.6 m。两畦中心相距8 m。每亩建10～12个畦。畦内填经过消毒和发酵预处理的双孢蘑菇菌渣占70%，土占25%，有机肥占5%。基质料面距畦口6 cm。</w:t>
      </w:r>
    </w:p>
    <w:p w14:paraId="79E4EAFD">
      <w:pPr>
        <w:rPr>
          <w:rFonts w:hint="eastAsia" w:ascii="黑体" w:hAnsi="黑体" w:eastAsia="黑体" w:cs="Times New Roman"/>
          <w:szCs w:val="21"/>
        </w:rPr>
      </w:pPr>
      <w:r>
        <w:rPr>
          <w:rFonts w:ascii="黑体" w:hAnsi="黑体" w:eastAsia="黑体" w:cs="Times New Roman"/>
          <w:szCs w:val="21"/>
        </w:rPr>
        <w:t xml:space="preserve">5.6.3 </w:t>
      </w:r>
      <w:r>
        <w:rPr>
          <w:rFonts w:hint="eastAsia" w:ascii="黑体" w:hAnsi="黑体" w:eastAsia="黑体" w:cs="Times New Roman"/>
          <w:szCs w:val="21"/>
        </w:rPr>
        <w:t>苗木栽植</w:t>
      </w:r>
    </w:p>
    <w:p w14:paraId="5E17EA16">
      <w:pPr>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定植前苗木根系采用70%甲基硫菌灵悬浮剂800-1000倍液消毒，苗木用29%石硫合剂水剂7-12倍液消毒。</w:t>
      </w:r>
    </w:p>
    <w:p w14:paraId="567C49B3">
      <w:pPr>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经修剪和消毒处理后的苗木栽于定植穴内，使根系舒展与土壤密接，堆土后踩实，浇透水。</w:t>
      </w:r>
    </w:p>
    <w:p w14:paraId="79242D98">
      <w:pPr>
        <w:rPr>
          <w:rFonts w:ascii="Times New Roman" w:hAnsi="Times New Roman" w:eastAsia="宋体" w:cs="Times New Roman"/>
          <w:szCs w:val="21"/>
        </w:rPr>
      </w:pPr>
    </w:p>
    <w:p w14:paraId="7BF60AB0">
      <w:pPr>
        <w:rPr>
          <w:rFonts w:hint="eastAsia" w:ascii="黑体" w:hAnsi="黑体" w:eastAsia="黑体" w:cs="Times New Roman"/>
          <w:szCs w:val="21"/>
        </w:rPr>
      </w:pPr>
      <w:r>
        <w:rPr>
          <w:rFonts w:hint="eastAsia" w:ascii="黑体" w:hAnsi="黑体" w:eastAsia="黑体" w:cs="Times New Roman"/>
          <w:szCs w:val="21"/>
        </w:rPr>
        <w:t>6   土肥水管理</w:t>
      </w:r>
    </w:p>
    <w:p w14:paraId="08B8503F">
      <w:pPr>
        <w:rPr>
          <w:rFonts w:hint="eastAsia" w:ascii="黑体" w:hAnsi="黑体" w:eastAsia="黑体" w:cs="Times New Roman"/>
          <w:szCs w:val="21"/>
        </w:rPr>
      </w:pPr>
    </w:p>
    <w:p w14:paraId="2905067D">
      <w:pPr>
        <w:rPr>
          <w:rFonts w:hint="eastAsia" w:ascii="黑体" w:hAnsi="黑体" w:eastAsia="黑体" w:cs="Times New Roman"/>
          <w:szCs w:val="21"/>
        </w:rPr>
      </w:pPr>
      <w:r>
        <w:rPr>
          <w:rFonts w:ascii="黑体" w:hAnsi="黑体" w:eastAsia="黑体" w:cs="Times New Roman"/>
          <w:szCs w:val="21"/>
        </w:rPr>
        <w:t xml:space="preserve">6.1 </w:t>
      </w:r>
      <w:r>
        <w:rPr>
          <w:rFonts w:hint="eastAsia" w:ascii="黑体" w:hAnsi="黑体" w:eastAsia="黑体" w:cs="Times New Roman"/>
          <w:szCs w:val="21"/>
        </w:rPr>
        <w:t>土壤管理</w:t>
      </w:r>
    </w:p>
    <w:p w14:paraId="40D6A953">
      <w:pPr>
        <w:rPr>
          <w:rFonts w:hint="eastAsia" w:ascii="黑体" w:hAnsi="黑体" w:eastAsia="黑体" w:cs="Times New Roman"/>
          <w:szCs w:val="21"/>
        </w:rPr>
      </w:pPr>
      <w:r>
        <w:rPr>
          <w:rFonts w:ascii="黑体" w:hAnsi="黑体" w:eastAsia="黑体" w:cs="Times New Roman"/>
          <w:szCs w:val="21"/>
        </w:rPr>
        <w:t xml:space="preserve">6.1.1 </w:t>
      </w:r>
      <w:r>
        <w:rPr>
          <w:rFonts w:hint="eastAsia" w:ascii="黑体" w:hAnsi="黑体" w:eastAsia="黑体" w:cs="Times New Roman"/>
          <w:szCs w:val="21"/>
        </w:rPr>
        <w:t>生草或覆盖</w:t>
      </w:r>
    </w:p>
    <w:p w14:paraId="062AACAC">
      <w:pPr>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提倡生草、种植绿肥或作物秸秆覆盖，提高土壤有机质含量。</w:t>
      </w:r>
    </w:p>
    <w:p w14:paraId="2E2EFBF5">
      <w:pPr>
        <w:rPr>
          <w:rFonts w:hint="eastAsia" w:ascii="黑体" w:hAnsi="黑体" w:eastAsia="黑体" w:cs="Times New Roman"/>
          <w:szCs w:val="21"/>
        </w:rPr>
      </w:pPr>
      <w:r>
        <w:rPr>
          <w:rFonts w:ascii="黑体" w:hAnsi="黑体" w:eastAsia="黑体" w:cs="Times New Roman"/>
          <w:szCs w:val="21"/>
        </w:rPr>
        <w:t xml:space="preserve">6.1.2 </w:t>
      </w:r>
      <w:r>
        <w:rPr>
          <w:rFonts w:hint="eastAsia" w:ascii="黑体" w:hAnsi="黑体" w:eastAsia="黑体" w:cs="Times New Roman"/>
          <w:szCs w:val="21"/>
        </w:rPr>
        <w:t>耕翻</w:t>
      </w:r>
    </w:p>
    <w:p w14:paraId="5B84A5B1">
      <w:pPr>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结合秋季施基肥进行耕翻。秋季深耕施肥后及时灌水；春季深耕较秋季深耕深度浅，春耕在土壤化冻后及早进行。</w:t>
      </w:r>
    </w:p>
    <w:p w14:paraId="0AD56047">
      <w:pPr>
        <w:rPr>
          <w:rFonts w:hint="eastAsia" w:ascii="黑体" w:hAnsi="黑体" w:eastAsia="黑体" w:cs="Times New Roman"/>
          <w:szCs w:val="21"/>
        </w:rPr>
      </w:pPr>
      <w:r>
        <w:rPr>
          <w:rFonts w:ascii="黑体" w:hAnsi="黑体" w:eastAsia="黑体" w:cs="Times New Roman"/>
          <w:szCs w:val="21"/>
        </w:rPr>
        <w:t xml:space="preserve">6.1.3 </w:t>
      </w:r>
      <w:r>
        <w:rPr>
          <w:rFonts w:hint="eastAsia" w:ascii="黑体" w:hAnsi="黑体" w:eastAsia="黑体" w:cs="Times New Roman"/>
          <w:szCs w:val="21"/>
        </w:rPr>
        <w:t>清耕</w:t>
      </w:r>
    </w:p>
    <w:p w14:paraId="36DB49A1">
      <w:pPr>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一般在生草或覆盖3年后清耕1年。在葡萄行和株间进行多次中耕除草，经常保持土壤疏松和无杂草状态。</w:t>
      </w:r>
    </w:p>
    <w:p w14:paraId="15A4640E">
      <w:pPr>
        <w:rPr>
          <w:rFonts w:hint="eastAsia" w:ascii="黑体" w:hAnsi="黑体" w:eastAsia="黑体" w:cs="Times New Roman"/>
          <w:szCs w:val="21"/>
        </w:rPr>
      </w:pPr>
      <w:r>
        <w:rPr>
          <w:rFonts w:ascii="黑体" w:hAnsi="黑体" w:eastAsia="黑体" w:cs="Times New Roman"/>
          <w:szCs w:val="21"/>
        </w:rPr>
        <w:t xml:space="preserve">6.2 </w:t>
      </w:r>
      <w:r>
        <w:rPr>
          <w:rFonts w:hint="eastAsia" w:ascii="黑体" w:hAnsi="黑体" w:eastAsia="黑体" w:cs="Times New Roman"/>
          <w:szCs w:val="21"/>
        </w:rPr>
        <w:t>施肥</w:t>
      </w:r>
    </w:p>
    <w:p w14:paraId="5E9F3A43">
      <w:pPr>
        <w:rPr>
          <w:rFonts w:hint="eastAsia" w:ascii="黑体" w:hAnsi="黑体" w:eastAsia="黑体" w:cs="Times New Roman"/>
          <w:szCs w:val="21"/>
        </w:rPr>
      </w:pPr>
      <w:r>
        <w:rPr>
          <w:rFonts w:ascii="黑体" w:hAnsi="黑体" w:eastAsia="黑体" w:cs="Times New Roman"/>
          <w:szCs w:val="21"/>
        </w:rPr>
        <w:t xml:space="preserve">6.2.1 </w:t>
      </w:r>
      <w:r>
        <w:rPr>
          <w:rFonts w:hint="eastAsia" w:ascii="黑体" w:hAnsi="黑体" w:eastAsia="黑体" w:cs="Times New Roman"/>
          <w:szCs w:val="21"/>
        </w:rPr>
        <w:t>施肥原则</w:t>
      </w:r>
    </w:p>
    <w:p w14:paraId="1D8AF9A1">
      <w:pPr>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提倡多施有机肥、平衡施肥和配方施肥。肥料施用应符合NY/T 394 的规定。</w:t>
      </w:r>
    </w:p>
    <w:p w14:paraId="77974E6E">
      <w:pPr>
        <w:rPr>
          <w:rFonts w:hint="eastAsia" w:ascii="黑体" w:hAnsi="黑体" w:eastAsia="黑体" w:cs="Times New Roman"/>
          <w:szCs w:val="21"/>
        </w:rPr>
      </w:pPr>
      <w:r>
        <w:rPr>
          <w:rFonts w:ascii="黑体" w:hAnsi="黑体" w:eastAsia="黑体" w:cs="Times New Roman"/>
          <w:szCs w:val="21"/>
        </w:rPr>
        <w:t xml:space="preserve">6.2.2 </w:t>
      </w:r>
      <w:r>
        <w:rPr>
          <w:rFonts w:hint="eastAsia" w:ascii="黑体" w:hAnsi="黑体" w:eastAsia="黑体" w:cs="Times New Roman"/>
          <w:szCs w:val="21"/>
        </w:rPr>
        <w:t>施肥时期和方法</w:t>
      </w:r>
    </w:p>
    <w:p w14:paraId="02A8D3F7">
      <w:pPr>
        <w:rPr>
          <w:rFonts w:hint="eastAsia" w:ascii="黑体" w:hAnsi="黑体" w:eastAsia="黑体" w:cs="Times New Roman"/>
          <w:szCs w:val="21"/>
        </w:rPr>
      </w:pPr>
      <w:r>
        <w:rPr>
          <w:rFonts w:ascii="黑体" w:hAnsi="黑体" w:eastAsia="黑体" w:cs="Times New Roman"/>
          <w:szCs w:val="21"/>
        </w:rPr>
        <w:t xml:space="preserve">6.2.2.1 </w:t>
      </w:r>
      <w:r>
        <w:rPr>
          <w:rFonts w:hint="eastAsia" w:ascii="黑体" w:hAnsi="黑体" w:eastAsia="黑体" w:cs="Times New Roman"/>
          <w:szCs w:val="21"/>
        </w:rPr>
        <w:t>基肥</w:t>
      </w:r>
    </w:p>
    <w:p w14:paraId="21D863E7">
      <w:pPr>
        <w:rPr>
          <w:rFonts w:ascii="Times New Roman" w:hAnsi="Times New Roman" w:eastAsia="宋体" w:cs="Times New Roman"/>
          <w:szCs w:val="21"/>
        </w:rPr>
      </w:pPr>
      <w:r>
        <w:rPr>
          <w:rFonts w:hint="eastAsia" w:ascii="Times New Roman" w:hAnsi="Times New Roman" w:eastAsia="宋体" w:cs="Times New Roman"/>
          <w:szCs w:val="21"/>
        </w:rPr>
        <w:t>     一般于果实采收后秋施基肥，以有机肥为主，并与磷钾肥混合施用，采用深40 cm～60 cm的沟施方法，每亩腐熟有机堆肥用量2500kg～3500kg加</w:t>
      </w:r>
      <w:r>
        <w:rPr>
          <w:rFonts w:ascii="Times New Roman" w:hAnsi="Times New Roman" w:eastAsia="宋体" w:cs="Times New Roman"/>
          <w:szCs w:val="21"/>
        </w:rPr>
        <w:t>过磷酸钙</w:t>
      </w:r>
      <w:r>
        <w:rPr>
          <w:rFonts w:hint="eastAsia" w:ascii="Times New Roman" w:hAnsi="Times New Roman" w:eastAsia="宋体" w:cs="Times New Roman"/>
          <w:szCs w:val="21"/>
        </w:rPr>
        <w:t>50</w:t>
      </w:r>
      <w:r>
        <w:rPr>
          <w:rFonts w:ascii="Times New Roman" w:hAnsi="Times New Roman" w:eastAsia="宋体" w:cs="Times New Roman"/>
          <w:szCs w:val="21"/>
        </w:rPr>
        <w:t>kg</w:t>
      </w:r>
      <w:r>
        <w:rPr>
          <w:rFonts w:hint="eastAsia" w:ascii="Times New Roman" w:hAnsi="Times New Roman" w:eastAsia="宋体" w:cs="Times New Roman"/>
          <w:szCs w:val="21"/>
        </w:rPr>
        <w:t>。有机堆肥不足增施腐熟饼肥100kg～200kg，提倡增施生物菌肥100kg～200kg，提高土壤地力。</w:t>
      </w:r>
    </w:p>
    <w:p w14:paraId="057D5F1A">
      <w:pPr>
        <w:rPr>
          <w:rFonts w:hint="eastAsia" w:ascii="黑体" w:hAnsi="黑体" w:eastAsia="黑体" w:cs="Times New Roman"/>
          <w:szCs w:val="21"/>
        </w:rPr>
      </w:pPr>
      <w:r>
        <w:rPr>
          <w:rFonts w:ascii="黑体" w:hAnsi="黑体" w:eastAsia="黑体" w:cs="Times New Roman"/>
          <w:szCs w:val="21"/>
        </w:rPr>
        <w:t xml:space="preserve">6.2.2.2 </w:t>
      </w:r>
      <w:r>
        <w:rPr>
          <w:rFonts w:hint="eastAsia" w:ascii="黑体" w:hAnsi="黑体" w:eastAsia="黑体" w:cs="Times New Roman"/>
          <w:szCs w:val="21"/>
        </w:rPr>
        <w:t>追肥</w:t>
      </w:r>
    </w:p>
    <w:p w14:paraId="35B62C2E">
      <w:pPr>
        <w:rPr>
          <w:rFonts w:ascii="Times New Roman" w:hAnsi="Times New Roman" w:eastAsia="宋体" w:cs="Times New Roman"/>
          <w:szCs w:val="21"/>
        </w:rPr>
      </w:pPr>
      <w:r>
        <w:rPr>
          <w:rFonts w:hint="eastAsia" w:ascii="Times New Roman" w:hAnsi="Times New Roman" w:eastAsia="宋体" w:cs="Times New Roman"/>
          <w:szCs w:val="21"/>
        </w:rPr>
        <w:t xml:space="preserve">    萌芽前追肥以氮、磷为主，果实膨大期和转色期追肥以磷、钾为主。微量元素缺乏地区，依据缺素的症状增加追肥的种类，或根外追肥。最后一次叶面施肥应距采收期20d以上。追肥使用宜采用水肥一体化：４月上中旬至６月中下旬，结合滴灌开始追肥，每隔10d～15d 追肥一次，每亩施用5kg～10kg水溶性复合肥，N、P</w:t>
      </w:r>
      <w:r>
        <w:rPr>
          <w:rFonts w:hint="eastAsia" w:ascii="Times New Roman" w:hAnsi="Times New Roman" w:eastAsia="宋体" w:cs="Times New Roman"/>
          <w:szCs w:val="21"/>
          <w:vertAlign w:val="subscript"/>
        </w:rPr>
        <w:t>２</w:t>
      </w:r>
      <w:r>
        <w:rPr>
          <w:rFonts w:hint="eastAsia" w:ascii="Times New Roman" w:hAnsi="Times New Roman" w:eastAsia="宋体" w:cs="Times New Roman"/>
          <w:szCs w:val="21"/>
        </w:rPr>
        <w:t>O</w:t>
      </w:r>
      <w:r>
        <w:rPr>
          <w:rFonts w:hint="eastAsia" w:ascii="Times New Roman" w:hAnsi="Times New Roman" w:eastAsia="宋体" w:cs="Times New Roman"/>
          <w:szCs w:val="21"/>
          <w:vertAlign w:val="subscript"/>
        </w:rPr>
        <w:t>5</w:t>
      </w:r>
      <w:r>
        <w:rPr>
          <w:rFonts w:hint="eastAsia" w:ascii="Times New Roman" w:hAnsi="Times New Roman" w:eastAsia="宋体" w:cs="Times New Roman"/>
          <w:szCs w:val="21"/>
        </w:rPr>
        <w:t>、K</w:t>
      </w:r>
      <w:r>
        <w:rPr>
          <w:rFonts w:hint="eastAsia" w:ascii="Times New Roman" w:hAnsi="Times New Roman" w:eastAsia="宋体" w:cs="Times New Roman"/>
          <w:szCs w:val="21"/>
          <w:vertAlign w:val="subscript"/>
        </w:rPr>
        <w:t>2</w:t>
      </w:r>
      <w:r>
        <w:rPr>
          <w:rFonts w:hint="eastAsia" w:ascii="Times New Roman" w:hAnsi="Times New Roman" w:eastAsia="宋体" w:cs="Times New Roman"/>
          <w:szCs w:val="21"/>
        </w:rPr>
        <w:t>0含量分别为15%、15%、15%。提倡增施微生物菌剂每亩追施３kg～5kg,，或黄腐酸钾每亩追施１kg～２kg。７月下旬至９月下旬，每隔10d滴管浇水追肥一次，以磷钾肥为主，并叶面施肥喷施0.3%磷酸二氢钾、氨基酸钙1000倍液等。</w:t>
      </w:r>
    </w:p>
    <w:p w14:paraId="28C9C258">
      <w:pPr>
        <w:rPr>
          <w:rFonts w:hint="eastAsia" w:ascii="黑体" w:hAnsi="黑体" w:eastAsia="黑体" w:cs="Times New Roman"/>
          <w:szCs w:val="21"/>
        </w:rPr>
      </w:pPr>
      <w:r>
        <w:rPr>
          <w:rFonts w:ascii="黑体" w:hAnsi="黑体" w:eastAsia="黑体" w:cs="Times New Roman"/>
          <w:szCs w:val="21"/>
        </w:rPr>
        <w:t xml:space="preserve">6.3 </w:t>
      </w:r>
      <w:r>
        <w:rPr>
          <w:rFonts w:hint="eastAsia" w:ascii="黑体" w:hAnsi="黑体" w:eastAsia="黑体" w:cs="Times New Roman"/>
          <w:szCs w:val="21"/>
        </w:rPr>
        <w:t>水分管理</w:t>
      </w:r>
    </w:p>
    <w:p w14:paraId="5F317771">
      <w:pPr>
        <w:rPr>
          <w:rFonts w:ascii="Times New Roman" w:hAnsi="Times New Roman" w:eastAsia="宋体" w:cs="Times New Roman"/>
          <w:szCs w:val="21"/>
        </w:rPr>
      </w:pPr>
      <w:r>
        <w:rPr>
          <w:rFonts w:hint="eastAsia" w:ascii="Times New Roman" w:hAnsi="Times New Roman" w:eastAsia="宋体" w:cs="Times New Roman"/>
          <w:szCs w:val="21"/>
        </w:rPr>
        <w:t>     萌芽期、浆果膨大期和入冬前需要良好的水分供应。成熟期应控制灌水。多雨地区地下水位较高，在雨季容易积水，需要排水降渍。</w:t>
      </w:r>
    </w:p>
    <w:p w14:paraId="07C02337">
      <w:pPr>
        <w:rPr>
          <w:rFonts w:ascii="Times New Roman" w:hAnsi="Times New Roman" w:eastAsia="宋体" w:cs="Times New Roman"/>
          <w:szCs w:val="21"/>
        </w:rPr>
      </w:pPr>
      <w:r>
        <w:rPr>
          <w:rFonts w:hint="eastAsia" w:ascii="Times New Roman" w:hAnsi="Times New Roman" w:eastAsia="宋体" w:cs="Times New Roman"/>
          <w:szCs w:val="21"/>
        </w:rPr>
        <w:t>避雨设施栽培条件下宜滴管浇水,定植后,应每隔8d～10d滴灌浇水一次，保持基质湿润，促进发芽和生根。4月,幼苗萌芽后，滴灌浇水周期6d～7d/次；5月～8月中旬，滴灌浇水周期4d～5d/次，8月下旬～10月上旬滴灌浇水周期7d～10d/次。滴灌浇水时间宜早晚。</w:t>
      </w:r>
    </w:p>
    <w:p w14:paraId="191EAF8F">
      <w:pPr>
        <w:rPr>
          <w:rFonts w:hint="eastAsia" w:ascii="黑体" w:hAnsi="黑体" w:eastAsia="黑体" w:cs="Times New Roman"/>
          <w:szCs w:val="21"/>
        </w:rPr>
      </w:pPr>
    </w:p>
    <w:p w14:paraId="71139D70">
      <w:pPr>
        <w:rPr>
          <w:rFonts w:hint="eastAsia" w:ascii="黑体" w:hAnsi="黑体" w:eastAsia="黑体" w:cs="Times New Roman"/>
          <w:szCs w:val="21"/>
        </w:rPr>
      </w:pPr>
      <w:r>
        <w:rPr>
          <w:rFonts w:hint="eastAsia" w:ascii="黑体" w:hAnsi="黑体" w:eastAsia="黑体" w:cs="Times New Roman"/>
          <w:szCs w:val="21"/>
        </w:rPr>
        <w:t>7   花果管理</w:t>
      </w:r>
    </w:p>
    <w:p w14:paraId="3D8A8623">
      <w:pPr>
        <w:rPr>
          <w:rFonts w:hint="eastAsia" w:ascii="黑体" w:hAnsi="黑体" w:eastAsia="黑体" w:cs="Times New Roman"/>
          <w:szCs w:val="21"/>
        </w:rPr>
      </w:pPr>
    </w:p>
    <w:p w14:paraId="188BD530">
      <w:pPr>
        <w:rPr>
          <w:rFonts w:hint="eastAsia" w:ascii="黑体" w:hAnsi="黑体" w:eastAsia="黑体" w:cs="Times New Roman"/>
          <w:szCs w:val="21"/>
        </w:rPr>
      </w:pPr>
      <w:r>
        <w:rPr>
          <w:rFonts w:ascii="黑体" w:hAnsi="黑体" w:eastAsia="黑体" w:cs="Times New Roman"/>
          <w:szCs w:val="21"/>
        </w:rPr>
        <w:t xml:space="preserve">7.1 </w:t>
      </w:r>
      <w:r>
        <w:rPr>
          <w:rFonts w:hint="eastAsia" w:ascii="黑体" w:hAnsi="黑体" w:eastAsia="黑体" w:cs="Times New Roman"/>
          <w:szCs w:val="21"/>
        </w:rPr>
        <w:t>疏果整穗</w:t>
      </w:r>
    </w:p>
    <w:p w14:paraId="477E63E2">
      <w:pPr>
        <w:rPr>
          <w:rFonts w:hint="eastAsia" w:ascii="黑体" w:hAnsi="黑体" w:eastAsia="黑体" w:cs="Times New Roman"/>
          <w:szCs w:val="21"/>
        </w:rPr>
      </w:pPr>
      <w:r>
        <w:rPr>
          <w:rFonts w:ascii="黑体" w:hAnsi="黑体" w:eastAsia="黑体" w:cs="Times New Roman"/>
          <w:szCs w:val="21"/>
        </w:rPr>
        <w:t>7.1.1</w:t>
      </w:r>
      <w:r>
        <w:rPr>
          <w:rFonts w:hint="eastAsia" w:ascii="黑体" w:hAnsi="黑体" w:eastAsia="黑体" w:cs="Times New Roman"/>
          <w:szCs w:val="21"/>
        </w:rPr>
        <w:t xml:space="preserve"> 果穗整形</w:t>
      </w:r>
    </w:p>
    <w:p w14:paraId="56CABFF3">
      <w:pPr>
        <w:rPr>
          <w:rFonts w:hint="eastAsia" w:ascii="黑体" w:hAnsi="黑体" w:eastAsia="黑体" w:cs="Times New Roman"/>
          <w:szCs w:val="21"/>
        </w:rPr>
      </w:pPr>
      <w:r>
        <w:rPr>
          <w:rFonts w:ascii="黑体" w:hAnsi="黑体" w:eastAsia="黑体" w:cs="Times New Roman"/>
          <w:szCs w:val="21"/>
        </w:rPr>
        <w:t xml:space="preserve">7.1.1.1 </w:t>
      </w:r>
      <w:r>
        <w:rPr>
          <w:rFonts w:hint="eastAsia" w:ascii="黑体" w:hAnsi="黑体" w:eastAsia="黑体" w:cs="Times New Roman"/>
          <w:szCs w:val="21"/>
        </w:rPr>
        <w:t>疏果穗</w:t>
      </w:r>
    </w:p>
    <w:p w14:paraId="3B32A7DE">
      <w:pPr>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花前疏花序留花量为目标产量留花量的2倍～3倍。花后疏除果穗留果量为目标产量1.5倍～2倍，最终达到1.2倍左右。根据单位面积留穗数确定单位面积的新梢数和需要叶片数。以巨峰葡萄为例，适宜产量为每亩收获1.1吨～1.3吨，每亩着穗数为2600穗～3300穗，负担一个果穗需要的叶片数为30片～40片，新梢的平均叶片为10片～13片，叶果比要求为（3～4）:1。于花后除穗1～2次。生长势较强的品种，花前的疏穗程度可以适当轻一些，花后适当重一些。生长势较弱的品种花前疏穗重一些。</w:t>
      </w:r>
    </w:p>
    <w:p w14:paraId="215EBA47">
      <w:pPr>
        <w:rPr>
          <w:rFonts w:hint="eastAsia" w:ascii="黑体" w:hAnsi="黑体" w:eastAsia="黑体" w:cs="Times New Roman"/>
          <w:szCs w:val="21"/>
        </w:rPr>
      </w:pPr>
      <w:r>
        <w:rPr>
          <w:rFonts w:ascii="黑体" w:hAnsi="黑体" w:eastAsia="黑体" w:cs="Times New Roman"/>
          <w:szCs w:val="21"/>
        </w:rPr>
        <w:t xml:space="preserve">7.1.1.2 </w:t>
      </w:r>
      <w:r>
        <w:rPr>
          <w:rFonts w:hint="eastAsia" w:ascii="黑体" w:hAnsi="黑体" w:eastAsia="黑体" w:cs="Times New Roman"/>
          <w:szCs w:val="21"/>
        </w:rPr>
        <w:t>疏果粒</w:t>
      </w:r>
    </w:p>
    <w:p w14:paraId="4A1D0C56">
      <w:pPr>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与疏穗同时进行，结实稳定时宜尽早进行疏粒，树势过强且落花落果严重的品种适当推后；于盛花后15～25天完成。分除去小穗梗和果粒两种方法，过密的果穗适当除去部分支梗，果穗上部留果粒可适当多一些，下部适当少一些。巨峰系大粒品种留粒数为3粒×4段，2粒×8段，1粒×2段，每穗30粒左右。其它品种根据果实大小、比例增加留果数和段数。</w:t>
      </w:r>
    </w:p>
    <w:p w14:paraId="576F1136">
      <w:pPr>
        <w:rPr>
          <w:rFonts w:hint="eastAsia" w:ascii="黑体" w:hAnsi="黑体" w:eastAsia="黑体" w:cs="Times New Roman"/>
          <w:szCs w:val="21"/>
        </w:rPr>
      </w:pPr>
      <w:r>
        <w:rPr>
          <w:rFonts w:ascii="黑体" w:hAnsi="黑体" w:eastAsia="黑体" w:cs="Times New Roman"/>
          <w:szCs w:val="21"/>
        </w:rPr>
        <w:t xml:space="preserve">7.1.2  </w:t>
      </w:r>
      <w:r>
        <w:rPr>
          <w:rFonts w:hint="eastAsia" w:ascii="黑体" w:hAnsi="黑体" w:eastAsia="黑体" w:cs="Times New Roman"/>
          <w:szCs w:val="21"/>
        </w:rPr>
        <w:t>花穗整形</w:t>
      </w:r>
    </w:p>
    <w:p w14:paraId="5AF439E1">
      <w:pPr>
        <w:rPr>
          <w:rFonts w:ascii="Times New Roman" w:hAnsi="Times New Roman" w:eastAsia="宋体" w:cs="Times New Roman"/>
          <w:szCs w:val="21"/>
        </w:rPr>
      </w:pPr>
      <w:r>
        <w:rPr>
          <w:rFonts w:hint="eastAsia" w:ascii="Times New Roman" w:hAnsi="Times New Roman" w:eastAsia="宋体" w:cs="Times New Roman"/>
          <w:szCs w:val="21"/>
        </w:rPr>
        <w:t xml:space="preserve">    开花前2周至初花期，四倍体品种疏除副穗及以下小穗，保留穗尖3～3.5 cm，8</w:t>
      </w:r>
      <w:bookmarkStart w:id="12" w:name="OLE_LINK1"/>
      <w:r>
        <w:rPr>
          <w:rFonts w:hint="eastAsia" w:ascii="Times New Roman" w:hAnsi="Times New Roman" w:eastAsia="宋体" w:cs="Times New Roman"/>
          <w:szCs w:val="21"/>
        </w:rPr>
        <w:t>～</w:t>
      </w:r>
      <w:bookmarkEnd w:id="12"/>
      <w:r>
        <w:rPr>
          <w:rFonts w:hint="eastAsia" w:ascii="Times New Roman" w:hAnsi="Times New Roman" w:eastAsia="宋体" w:cs="Times New Roman"/>
          <w:szCs w:val="21"/>
        </w:rPr>
        <w:t>10段小穗，50～55个花蕾。幼树、促成栽培方式、坐果不稳定的品种和类型适当轻剪穗尖，去除5个左右花蕾。三倍体品种保留穗尖4～5 cm。二倍体品种疏除副穗及以下小穗，剪去穗尖2 cm，保留穗前端5～7 cm，15～20段小穗，60～100个花蕾。</w:t>
      </w:r>
    </w:p>
    <w:p w14:paraId="665D50D7">
      <w:pPr>
        <w:rPr>
          <w:rFonts w:hint="eastAsia" w:ascii="黑体" w:hAnsi="黑体" w:eastAsia="黑体" w:cs="Times New Roman"/>
          <w:szCs w:val="21"/>
        </w:rPr>
      </w:pPr>
      <w:r>
        <w:rPr>
          <w:rFonts w:ascii="黑体" w:hAnsi="黑体" w:eastAsia="黑体" w:cs="Times New Roman"/>
          <w:szCs w:val="21"/>
        </w:rPr>
        <w:t xml:space="preserve">7.2 </w:t>
      </w:r>
      <w:r>
        <w:rPr>
          <w:rFonts w:hint="eastAsia" w:ascii="黑体" w:hAnsi="黑体" w:eastAsia="黑体" w:cs="Times New Roman"/>
          <w:szCs w:val="21"/>
        </w:rPr>
        <w:t>控制产量</w:t>
      </w:r>
    </w:p>
    <w:p w14:paraId="24F33BB9">
      <w:pPr>
        <w:ind w:firstLine="420" w:firstLineChars="200"/>
        <w:rPr>
          <w:rFonts w:ascii="Times New Roman" w:hAnsi="Times New Roman" w:eastAsia="宋体" w:cs="Times New Roman"/>
          <w:bCs/>
          <w:szCs w:val="21"/>
        </w:rPr>
      </w:pPr>
      <w:r>
        <w:rPr>
          <w:rFonts w:hint="eastAsia" w:ascii="Times New Roman" w:hAnsi="Times New Roman" w:eastAsia="宋体" w:cs="Times New Roman"/>
          <w:bCs/>
          <w:szCs w:val="21"/>
        </w:rPr>
        <w:t>定产定果，亩产控制在1000kg</w:t>
      </w:r>
      <w:r>
        <w:rPr>
          <w:rFonts w:hint="eastAsia" w:ascii="Times New Roman" w:hAnsi="Times New Roman" w:eastAsia="宋体" w:cs="Times New Roman"/>
          <w:szCs w:val="21"/>
        </w:rPr>
        <w:t>～1250</w:t>
      </w:r>
      <w:r>
        <w:rPr>
          <w:rFonts w:hint="eastAsia" w:ascii="Times New Roman" w:hAnsi="Times New Roman" w:eastAsia="宋体" w:cs="Times New Roman"/>
          <w:bCs/>
          <w:szCs w:val="21"/>
        </w:rPr>
        <w:t>kg。</w:t>
      </w:r>
    </w:p>
    <w:p w14:paraId="2246E61A">
      <w:pPr>
        <w:rPr>
          <w:rFonts w:hint="eastAsia" w:ascii="黑体" w:hAnsi="黑体" w:eastAsia="黑体" w:cs="Times New Roman"/>
          <w:szCs w:val="21"/>
        </w:rPr>
      </w:pPr>
      <w:r>
        <w:rPr>
          <w:rFonts w:ascii="黑体" w:hAnsi="黑体" w:eastAsia="黑体" w:cs="Times New Roman"/>
          <w:szCs w:val="21"/>
        </w:rPr>
        <w:t xml:space="preserve">7.3 </w:t>
      </w:r>
      <w:r>
        <w:rPr>
          <w:rFonts w:hint="eastAsia" w:ascii="黑体" w:hAnsi="黑体" w:eastAsia="黑体" w:cs="Times New Roman"/>
          <w:szCs w:val="21"/>
        </w:rPr>
        <w:t>全园套袋</w:t>
      </w:r>
    </w:p>
    <w:p w14:paraId="14F62846">
      <w:pPr>
        <w:rPr>
          <w:rFonts w:hint="eastAsia" w:ascii="黑体" w:hAnsi="黑体" w:eastAsia="黑体" w:cs="Times New Roman"/>
          <w:szCs w:val="21"/>
        </w:rPr>
      </w:pPr>
      <w:r>
        <w:rPr>
          <w:rFonts w:ascii="黑体" w:hAnsi="黑体" w:eastAsia="黑体" w:cs="Times New Roman"/>
          <w:szCs w:val="21"/>
        </w:rPr>
        <w:t xml:space="preserve">7.3.1 </w:t>
      </w:r>
      <w:r>
        <w:rPr>
          <w:rFonts w:hint="eastAsia" w:ascii="黑体" w:hAnsi="黑体" w:eastAsia="黑体" w:cs="Times New Roman"/>
          <w:szCs w:val="21"/>
        </w:rPr>
        <w:t>套袋时期</w:t>
      </w:r>
    </w:p>
    <w:p w14:paraId="4273BB14">
      <w:pPr>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在葡萄生理落果后,果粒长到黄豆粒大小时全园套袋。每天套袋时间以晴天上午9:00～11:00和下午2:00～6:00为宜。</w:t>
      </w:r>
    </w:p>
    <w:p w14:paraId="6CDCCA33">
      <w:pPr>
        <w:rPr>
          <w:rFonts w:hint="eastAsia" w:ascii="黑体" w:hAnsi="黑体" w:eastAsia="黑体" w:cs="Times New Roman"/>
          <w:szCs w:val="21"/>
        </w:rPr>
      </w:pPr>
      <w:r>
        <w:rPr>
          <w:rFonts w:ascii="黑体" w:hAnsi="黑体" w:eastAsia="黑体" w:cs="Times New Roman"/>
          <w:szCs w:val="21"/>
        </w:rPr>
        <w:t xml:space="preserve">7.3.2 </w:t>
      </w:r>
      <w:r>
        <w:rPr>
          <w:rFonts w:hint="eastAsia" w:ascii="黑体" w:hAnsi="黑体" w:eastAsia="黑体" w:cs="Times New Roman"/>
          <w:szCs w:val="21"/>
        </w:rPr>
        <w:t>套袋方法</w:t>
      </w:r>
    </w:p>
    <w:p w14:paraId="6D4601DB">
      <w:pPr>
        <w:rPr>
          <w:rFonts w:hint="eastAsia" w:ascii="黑体" w:hAnsi="黑体" w:eastAsia="黑体" w:cs="Times New Roman"/>
          <w:szCs w:val="21"/>
        </w:rPr>
      </w:pPr>
      <w:r>
        <w:rPr>
          <w:rFonts w:ascii="黑体" w:hAnsi="黑体" w:eastAsia="黑体" w:cs="Times New Roman"/>
          <w:szCs w:val="21"/>
        </w:rPr>
        <w:t xml:space="preserve">7.3.2.1 </w:t>
      </w:r>
      <w:r>
        <w:rPr>
          <w:rFonts w:hint="eastAsia" w:ascii="黑体" w:hAnsi="黑体" w:eastAsia="黑体" w:cs="Times New Roman"/>
          <w:szCs w:val="21"/>
        </w:rPr>
        <w:t>纸袋预湿</w:t>
      </w:r>
    </w:p>
    <w:p w14:paraId="31C22E2A">
      <w:pPr>
        <w:rPr>
          <w:rFonts w:ascii="Times New Roman" w:hAnsi="Times New Roman" w:eastAsia="宋体" w:cs="Times New Roman"/>
          <w:szCs w:val="21"/>
        </w:rPr>
      </w:pPr>
      <w:r>
        <w:rPr>
          <w:rFonts w:hint="eastAsia" w:ascii="Times New Roman" w:hAnsi="Times New Roman" w:eastAsia="宋体" w:cs="Times New Roman"/>
          <w:szCs w:val="21"/>
        </w:rPr>
        <w:t xml:space="preserve">    套袋前将葡萄专用纸袋返潮、柔韧。</w:t>
      </w:r>
    </w:p>
    <w:p w14:paraId="0171C1A0">
      <w:pPr>
        <w:rPr>
          <w:rFonts w:hint="eastAsia" w:ascii="黑体" w:hAnsi="黑体" w:eastAsia="黑体" w:cs="Times New Roman"/>
          <w:szCs w:val="21"/>
        </w:rPr>
      </w:pPr>
      <w:r>
        <w:rPr>
          <w:rFonts w:ascii="黑体" w:hAnsi="黑体" w:eastAsia="黑体" w:cs="Times New Roman"/>
          <w:szCs w:val="21"/>
        </w:rPr>
        <w:t xml:space="preserve">7.2.2 </w:t>
      </w:r>
      <w:r>
        <w:rPr>
          <w:rFonts w:hint="eastAsia" w:ascii="黑体" w:hAnsi="黑体" w:eastAsia="黑体" w:cs="Times New Roman"/>
          <w:szCs w:val="21"/>
        </w:rPr>
        <w:t>操作步骤</w:t>
      </w:r>
    </w:p>
    <w:p w14:paraId="041DCBBB">
      <w:pPr>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选定幼穗后，疏粒整穗，除去附着在幼穗上的花瓣及其他杂物，撑开袋口，令袋体膨起，使袋底两角的通气放水孔张开，手执袋口下2cm～3cm处，袋口向上或向下，套入果穗后使果柄置于袋口开口基部，不应将叶片和枝条装入袋子内，然后从袋口两侧依次按“折扇”方式折叠袋口于切口处，将捆扎丝扎紧袋口于折叠处，于线口上方从连接点处撕开将捆扎丝返转90度，沿袋口旋转一周扎紧袋口，使幼穗处于袋体中央，在袋内悬空，防止袋体摩擦果面，不要将捆扎丝缠在果柄上。套袋顺序为先上后下，先里后外。</w:t>
      </w:r>
    </w:p>
    <w:p w14:paraId="5714B9E9">
      <w:pPr>
        <w:rPr>
          <w:rFonts w:hint="eastAsia" w:ascii="黑体" w:hAnsi="黑体" w:eastAsia="黑体" w:cs="Times New Roman"/>
          <w:szCs w:val="21"/>
        </w:rPr>
      </w:pPr>
    </w:p>
    <w:p w14:paraId="061D65AF">
      <w:pPr>
        <w:rPr>
          <w:rFonts w:hint="eastAsia" w:ascii="黑体" w:hAnsi="黑体" w:eastAsia="黑体" w:cs="Times New Roman"/>
          <w:szCs w:val="21"/>
        </w:rPr>
      </w:pPr>
      <w:r>
        <w:rPr>
          <w:rFonts w:hint="eastAsia" w:ascii="黑体" w:hAnsi="黑体" w:eastAsia="黑体" w:cs="Times New Roman"/>
          <w:szCs w:val="21"/>
        </w:rPr>
        <w:t>8   树体管理</w:t>
      </w:r>
    </w:p>
    <w:p w14:paraId="4469275C">
      <w:pPr>
        <w:rPr>
          <w:rFonts w:hint="eastAsia" w:ascii="黑体" w:hAnsi="黑体" w:eastAsia="黑体" w:cs="Times New Roman"/>
          <w:szCs w:val="21"/>
        </w:rPr>
      </w:pPr>
    </w:p>
    <w:p w14:paraId="30D291A5">
      <w:pPr>
        <w:rPr>
          <w:rFonts w:hint="eastAsia" w:ascii="黑体" w:hAnsi="黑体" w:eastAsia="黑体" w:cs="Times New Roman"/>
          <w:szCs w:val="21"/>
        </w:rPr>
      </w:pPr>
      <w:r>
        <w:rPr>
          <w:rFonts w:ascii="黑体" w:hAnsi="黑体" w:eastAsia="黑体" w:cs="Times New Roman"/>
          <w:szCs w:val="21"/>
        </w:rPr>
        <w:t xml:space="preserve">8.1 </w:t>
      </w:r>
      <w:r>
        <w:rPr>
          <w:rFonts w:hint="eastAsia" w:ascii="黑体" w:hAnsi="黑体" w:eastAsia="黑体" w:cs="Times New Roman"/>
          <w:szCs w:val="21"/>
        </w:rPr>
        <w:t>树形选择</w:t>
      </w:r>
    </w:p>
    <w:p w14:paraId="192A41CF">
      <w:pPr>
        <w:ind w:firstLine="420" w:firstLineChars="200"/>
        <w:rPr>
          <w:rFonts w:ascii="Times New Roman" w:hAnsi="Times New Roman" w:eastAsia="宋体" w:cs="Times New Roman"/>
          <w:bCs/>
          <w:szCs w:val="21"/>
        </w:rPr>
      </w:pPr>
      <w:r>
        <w:rPr>
          <w:rFonts w:hint="eastAsia" w:ascii="Times New Roman" w:hAnsi="Times New Roman" w:eastAsia="宋体" w:cs="Times New Roman"/>
          <w:bCs/>
          <w:szCs w:val="21"/>
        </w:rPr>
        <w:t>平棚架宜选H形、一字形；篱形架宜选Y形、T形。</w:t>
      </w:r>
    </w:p>
    <w:p w14:paraId="052B6291">
      <w:pPr>
        <w:rPr>
          <w:rFonts w:hint="eastAsia" w:ascii="黑体" w:hAnsi="黑体" w:eastAsia="黑体" w:cs="Times New Roman"/>
          <w:szCs w:val="21"/>
        </w:rPr>
      </w:pPr>
      <w:r>
        <w:rPr>
          <w:rFonts w:ascii="黑体" w:hAnsi="黑体" w:eastAsia="黑体" w:cs="Times New Roman"/>
          <w:szCs w:val="21"/>
        </w:rPr>
        <w:t xml:space="preserve">8.2 </w:t>
      </w:r>
      <w:r>
        <w:rPr>
          <w:rFonts w:hint="eastAsia" w:ascii="黑体" w:hAnsi="黑体" w:eastAsia="黑体" w:cs="Times New Roman"/>
          <w:szCs w:val="21"/>
        </w:rPr>
        <w:t>整形修剪</w:t>
      </w:r>
    </w:p>
    <w:p w14:paraId="6C710946">
      <w:pPr>
        <w:rPr>
          <w:rFonts w:hint="eastAsia" w:ascii="黑体" w:hAnsi="黑体" w:eastAsia="黑体" w:cs="Times New Roman"/>
          <w:szCs w:val="21"/>
        </w:rPr>
      </w:pPr>
      <w:r>
        <w:rPr>
          <w:rFonts w:ascii="黑体" w:hAnsi="黑体" w:eastAsia="黑体" w:cs="Times New Roman"/>
          <w:szCs w:val="21"/>
        </w:rPr>
        <w:t xml:space="preserve">8.2.1 </w:t>
      </w:r>
      <w:r>
        <w:rPr>
          <w:rFonts w:hint="eastAsia" w:ascii="黑体" w:hAnsi="黑体" w:eastAsia="黑体" w:cs="Times New Roman"/>
          <w:szCs w:val="21"/>
        </w:rPr>
        <w:t>整形</w:t>
      </w:r>
    </w:p>
    <w:p w14:paraId="477DAFE6">
      <w:pPr>
        <w:rPr>
          <w:rFonts w:ascii="Times New Roman" w:hAnsi="Times New Roman" w:eastAsia="宋体" w:cs="Times New Roman"/>
          <w:szCs w:val="21"/>
        </w:rPr>
      </w:pPr>
      <w:r>
        <w:rPr>
          <w:rFonts w:hint="eastAsia" w:ascii="Times New Roman" w:hAnsi="Times New Roman" w:eastAsia="宋体" w:cs="Times New Roman"/>
          <w:szCs w:val="21"/>
        </w:rPr>
        <w:t xml:space="preserve">    栽植当年，苗木萌芽后选留</w:t>
      </w:r>
      <w:r>
        <w:rPr>
          <w:rFonts w:ascii="Times New Roman" w:hAnsi="Times New Roman" w:eastAsia="宋体" w:cs="Times New Roman"/>
          <w:szCs w:val="21"/>
        </w:rPr>
        <w:t>1~2</w:t>
      </w:r>
      <w:r>
        <w:rPr>
          <w:rFonts w:hint="eastAsia" w:ascii="Times New Roman" w:hAnsi="Times New Roman" w:eastAsia="宋体" w:cs="Times New Roman"/>
          <w:szCs w:val="21"/>
        </w:rPr>
        <w:t xml:space="preserve">个生长健壮的新梢，沿小竹竿垂直向架面上生长，副梢留1～2叶摘心。新梢高度到架面钢丝下20 </w:t>
      </w:r>
      <w:r>
        <w:rPr>
          <w:rFonts w:ascii="Times New Roman" w:hAnsi="Times New Roman" w:eastAsia="宋体" w:cs="Times New Roman"/>
          <w:szCs w:val="21"/>
        </w:rPr>
        <w:t>cm</w:t>
      </w:r>
      <w:r>
        <w:rPr>
          <w:rFonts w:hint="eastAsia" w:ascii="Times New Roman" w:hAnsi="Times New Roman" w:eastAsia="宋体" w:cs="Times New Roman"/>
          <w:szCs w:val="21"/>
        </w:rPr>
        <w:t>处摘心，同时留两个副梢，副梢垂直行平绑缚在架面钢丝上，形成两个臂，在行距×1/4-20 cm处摘心，留2个副梢平绑缚于立柱上钢丝上，新梢每隔6片叶摘心，其上副梢留1～2叶摘心。生长旺盛的苗或品种可留副梢培养结果母枝。冬季修剪时两个臂视粗度留8～10芽短截修剪，或副梢留1～2芽短截。生长旺盛品种当年形成H型，生长缓慢或生长势弱的品种可第一年T型，第二年培养成H型。</w:t>
      </w:r>
    </w:p>
    <w:p w14:paraId="3BD1F2EE">
      <w:pPr>
        <w:rPr>
          <w:rFonts w:hint="eastAsia" w:ascii="黑体" w:hAnsi="黑体" w:eastAsia="黑体" w:cs="Times New Roman"/>
          <w:szCs w:val="21"/>
        </w:rPr>
      </w:pPr>
      <w:r>
        <w:rPr>
          <w:rFonts w:ascii="黑体" w:hAnsi="黑体" w:eastAsia="黑体" w:cs="Times New Roman"/>
          <w:szCs w:val="21"/>
        </w:rPr>
        <w:t xml:space="preserve">8.2.2 </w:t>
      </w:r>
      <w:r>
        <w:rPr>
          <w:rFonts w:hint="eastAsia" w:ascii="黑体" w:hAnsi="黑体" w:eastAsia="黑体" w:cs="Times New Roman"/>
          <w:szCs w:val="21"/>
        </w:rPr>
        <w:t>冬季修剪</w:t>
      </w:r>
    </w:p>
    <w:p w14:paraId="00616F47">
      <w:pPr>
        <w:rPr>
          <w:rFonts w:ascii="Times New Roman" w:hAnsi="Times New Roman" w:eastAsia="宋体" w:cs="Times New Roman"/>
          <w:szCs w:val="21"/>
        </w:rPr>
      </w:pPr>
      <w:r>
        <w:rPr>
          <w:rFonts w:hint="eastAsia" w:ascii="Times New Roman" w:hAnsi="Times New Roman" w:eastAsia="宋体" w:cs="Times New Roman"/>
          <w:szCs w:val="21"/>
        </w:rPr>
        <w:t xml:space="preserve">    间隔18～25 cm配置结果母枝，极短梢修剪，延长枝回缩，第2根枝条为沿长枝，长梢修剪。对不易成化品种基部留1～2个枝条，长梢修剪后平绑于两臂预备，结果母枝短梢修剪。</w:t>
      </w:r>
    </w:p>
    <w:p w14:paraId="34F6AFF7">
      <w:pPr>
        <w:rPr>
          <w:rFonts w:hint="eastAsia" w:ascii="黑体" w:hAnsi="黑体" w:eastAsia="黑体" w:cs="Times New Roman"/>
          <w:szCs w:val="21"/>
        </w:rPr>
      </w:pPr>
      <w:r>
        <w:rPr>
          <w:rFonts w:ascii="黑体" w:hAnsi="黑体" w:eastAsia="黑体" w:cs="Times New Roman"/>
          <w:szCs w:val="21"/>
        </w:rPr>
        <w:t xml:space="preserve">8.3 </w:t>
      </w:r>
      <w:r>
        <w:rPr>
          <w:rFonts w:hint="eastAsia" w:ascii="黑体" w:hAnsi="黑体" w:eastAsia="黑体" w:cs="Times New Roman"/>
          <w:szCs w:val="21"/>
        </w:rPr>
        <w:t>新梢管理</w:t>
      </w:r>
    </w:p>
    <w:p w14:paraId="76C960E8">
      <w:pPr>
        <w:rPr>
          <w:rFonts w:hint="eastAsia" w:ascii="黑体" w:hAnsi="黑体" w:eastAsia="黑体" w:cs="Times New Roman"/>
          <w:szCs w:val="21"/>
        </w:rPr>
      </w:pPr>
      <w:r>
        <w:rPr>
          <w:rFonts w:ascii="黑体" w:hAnsi="黑体" w:eastAsia="黑体" w:cs="Times New Roman"/>
          <w:szCs w:val="21"/>
        </w:rPr>
        <w:t xml:space="preserve">8.3.1 </w:t>
      </w:r>
      <w:r>
        <w:rPr>
          <w:rFonts w:hint="eastAsia" w:ascii="黑体" w:hAnsi="黑体" w:eastAsia="黑体" w:cs="Times New Roman"/>
          <w:szCs w:val="21"/>
        </w:rPr>
        <w:t>抹芽</w:t>
      </w:r>
    </w:p>
    <w:p w14:paraId="2697AC21">
      <w:pPr>
        <w:ind w:firstLine="420" w:firstLineChars="200"/>
        <w:rPr>
          <w:rFonts w:ascii="Times New Roman" w:hAnsi="Times New Roman" w:eastAsia="宋体" w:cs="Times New Roman"/>
          <w:bCs/>
          <w:szCs w:val="21"/>
        </w:rPr>
      </w:pPr>
      <w:r>
        <w:rPr>
          <w:rFonts w:hint="eastAsia" w:ascii="Times New Roman" w:hAnsi="Times New Roman" w:eastAsia="宋体" w:cs="Times New Roman"/>
          <w:bCs/>
          <w:szCs w:val="21"/>
        </w:rPr>
        <w:t>发芽后将不需要的廋弱芽、双芽、歪芽、病虫芽抹去。</w:t>
      </w:r>
    </w:p>
    <w:p w14:paraId="23B32D9B">
      <w:pPr>
        <w:rPr>
          <w:rFonts w:hint="eastAsia" w:ascii="黑体" w:hAnsi="黑体" w:eastAsia="黑体" w:cs="Times New Roman"/>
          <w:szCs w:val="21"/>
        </w:rPr>
      </w:pPr>
      <w:r>
        <w:rPr>
          <w:rFonts w:ascii="黑体" w:hAnsi="黑体" w:eastAsia="黑体" w:cs="Times New Roman"/>
          <w:szCs w:val="21"/>
        </w:rPr>
        <w:t xml:space="preserve">8.3.2 </w:t>
      </w:r>
      <w:r>
        <w:rPr>
          <w:rFonts w:hint="eastAsia" w:ascii="黑体" w:hAnsi="黑体" w:eastAsia="黑体" w:cs="Times New Roman"/>
          <w:szCs w:val="21"/>
        </w:rPr>
        <w:t>定梢和引缚</w:t>
      </w:r>
    </w:p>
    <w:p w14:paraId="2BE94EF4">
      <w:pPr>
        <w:rPr>
          <w:rFonts w:ascii="Times New Roman" w:hAnsi="Times New Roman" w:eastAsia="宋体" w:cs="Times New Roman"/>
          <w:szCs w:val="21"/>
        </w:rPr>
      </w:pPr>
      <w:r>
        <w:rPr>
          <w:rFonts w:hint="eastAsia" w:ascii="Times New Roman" w:hAnsi="Times New Roman" w:eastAsia="宋体" w:cs="Times New Roman"/>
          <w:szCs w:val="21"/>
        </w:rPr>
        <w:t xml:space="preserve">    花序展开时去掉过多、过密的新梢，按定产要求保留一定数量的健壮结果枝和营养枝，长到40cm时按新梢与结果母枝垂直的方向引缚，延长枝按延长方向引缚,引缚时动作轻柔，以防从根部断梢。</w:t>
      </w:r>
    </w:p>
    <w:p w14:paraId="3086B099">
      <w:pPr>
        <w:rPr>
          <w:rFonts w:hint="eastAsia" w:ascii="黑体" w:hAnsi="黑体" w:eastAsia="黑体" w:cs="Times New Roman"/>
          <w:szCs w:val="21"/>
        </w:rPr>
      </w:pPr>
      <w:r>
        <w:rPr>
          <w:rFonts w:ascii="黑体" w:hAnsi="黑体" w:eastAsia="黑体" w:cs="Times New Roman"/>
          <w:szCs w:val="21"/>
        </w:rPr>
        <w:t xml:space="preserve">8.3.3 </w:t>
      </w:r>
      <w:r>
        <w:rPr>
          <w:rFonts w:hint="eastAsia" w:ascii="黑体" w:hAnsi="黑体" w:eastAsia="黑体" w:cs="Times New Roman"/>
          <w:szCs w:val="21"/>
        </w:rPr>
        <w:t>摘心</w:t>
      </w:r>
    </w:p>
    <w:p w14:paraId="3A319BC6">
      <w:pPr>
        <w:rPr>
          <w:rFonts w:ascii="Times New Roman" w:hAnsi="Times New Roman" w:eastAsia="宋体" w:cs="Times New Roman"/>
          <w:szCs w:val="21"/>
        </w:rPr>
      </w:pPr>
      <w:r>
        <w:rPr>
          <w:rFonts w:hint="eastAsia" w:ascii="Times New Roman" w:hAnsi="Times New Roman" w:eastAsia="宋体" w:cs="Times New Roman"/>
          <w:szCs w:val="21"/>
        </w:rPr>
        <w:t xml:space="preserve">    开花前5d～6d，结果枝在花序以上5片～6片叶处摘心，发育枝有8片～10片叶完全伸展时摘心。</w:t>
      </w:r>
    </w:p>
    <w:p w14:paraId="1C31CBA1">
      <w:pPr>
        <w:rPr>
          <w:rFonts w:hint="eastAsia" w:ascii="黑体" w:hAnsi="黑体" w:eastAsia="黑体" w:cs="Times New Roman"/>
          <w:szCs w:val="21"/>
        </w:rPr>
      </w:pPr>
      <w:r>
        <w:rPr>
          <w:rFonts w:ascii="黑体" w:hAnsi="黑体" w:eastAsia="黑体" w:cs="Times New Roman"/>
          <w:szCs w:val="21"/>
        </w:rPr>
        <w:t xml:space="preserve">8.3.4 </w:t>
      </w:r>
      <w:r>
        <w:rPr>
          <w:rFonts w:hint="eastAsia" w:ascii="黑体" w:hAnsi="黑体" w:eastAsia="黑体" w:cs="Times New Roman"/>
          <w:szCs w:val="21"/>
        </w:rPr>
        <w:t>除卷须</w:t>
      </w:r>
    </w:p>
    <w:p w14:paraId="3D5DAB04">
      <w:pPr>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整个生长季及时除去所有卷须。</w:t>
      </w:r>
    </w:p>
    <w:p w14:paraId="4D7695E3">
      <w:pPr>
        <w:rPr>
          <w:rFonts w:ascii="Times New Roman" w:hAnsi="Times New Roman" w:eastAsia="宋体" w:cs="Times New Roman"/>
          <w:szCs w:val="21"/>
        </w:rPr>
      </w:pPr>
      <w:r>
        <w:rPr>
          <w:rFonts w:hint="eastAsia" w:ascii="Times New Roman" w:hAnsi="Times New Roman" w:eastAsia="宋体" w:cs="Times New Roman"/>
          <w:szCs w:val="21"/>
        </w:rPr>
        <w:t>8.3.5  副梢处理</w:t>
      </w:r>
    </w:p>
    <w:p w14:paraId="596112B6">
      <w:pPr>
        <w:rPr>
          <w:rFonts w:ascii="Times New Roman" w:hAnsi="Times New Roman" w:eastAsia="宋体" w:cs="Times New Roman"/>
          <w:szCs w:val="21"/>
        </w:rPr>
      </w:pPr>
      <w:r>
        <w:rPr>
          <w:rFonts w:hint="eastAsia" w:ascii="Times New Roman" w:hAnsi="Times New Roman" w:eastAsia="宋体" w:cs="Times New Roman"/>
          <w:szCs w:val="21"/>
        </w:rPr>
        <w:t xml:space="preserve">    花穗下的副梢全部去掉，花穗上的一般留1叶～2叶反复摘心，过密处副梢全去。</w:t>
      </w:r>
    </w:p>
    <w:p w14:paraId="7C17A382">
      <w:pPr>
        <w:rPr>
          <w:rFonts w:ascii="Times New Roman" w:hAnsi="Times New Roman" w:eastAsia="宋体" w:cs="Times New Roman"/>
          <w:szCs w:val="21"/>
        </w:rPr>
      </w:pPr>
      <w:r>
        <w:rPr>
          <w:rFonts w:hint="eastAsia" w:ascii="Times New Roman" w:hAnsi="Times New Roman" w:eastAsia="宋体" w:cs="Times New Roman"/>
          <w:szCs w:val="21"/>
        </w:rPr>
        <w:t>8.4  树冠管理</w:t>
      </w:r>
    </w:p>
    <w:p w14:paraId="31E8B8CD">
      <w:pPr>
        <w:rPr>
          <w:rFonts w:ascii="Times New Roman" w:hAnsi="Times New Roman" w:eastAsia="宋体" w:cs="Times New Roman"/>
          <w:szCs w:val="21"/>
        </w:rPr>
      </w:pPr>
      <w:r>
        <w:rPr>
          <w:rFonts w:hint="eastAsia" w:ascii="Times New Roman" w:hAnsi="Times New Roman" w:eastAsia="宋体" w:cs="Times New Roman"/>
          <w:szCs w:val="21"/>
        </w:rPr>
        <w:t xml:space="preserve">    合理密植，通过间伐、修剪等措施控制树冠。株间无严重交叉，树冠通风透光良好。植株生长整齐，缺株率≤2%。</w:t>
      </w:r>
    </w:p>
    <w:p w14:paraId="75472D1E">
      <w:pPr>
        <w:rPr>
          <w:rFonts w:hint="eastAsia" w:ascii="黑体" w:hAnsi="黑体" w:eastAsia="黑体" w:cs="Times New Roman"/>
          <w:szCs w:val="21"/>
        </w:rPr>
      </w:pPr>
    </w:p>
    <w:p w14:paraId="48064CA4">
      <w:pPr>
        <w:rPr>
          <w:rFonts w:hint="eastAsia" w:ascii="黑体" w:hAnsi="黑体" w:eastAsia="黑体" w:cs="Times New Roman"/>
          <w:szCs w:val="21"/>
        </w:rPr>
      </w:pPr>
      <w:r>
        <w:rPr>
          <w:rFonts w:hint="eastAsia" w:ascii="黑体" w:hAnsi="黑体" w:eastAsia="黑体" w:cs="Times New Roman"/>
          <w:szCs w:val="21"/>
        </w:rPr>
        <w:t>9   病虫害防治</w:t>
      </w:r>
    </w:p>
    <w:p w14:paraId="3B7E44EB">
      <w:pPr>
        <w:rPr>
          <w:rFonts w:hint="eastAsia" w:ascii="黑体" w:hAnsi="黑体" w:eastAsia="黑体" w:cs="Times New Roman"/>
          <w:szCs w:val="21"/>
        </w:rPr>
      </w:pPr>
    </w:p>
    <w:p w14:paraId="34B703F3">
      <w:pPr>
        <w:rPr>
          <w:rFonts w:hint="eastAsia" w:ascii="黑体" w:hAnsi="黑体" w:eastAsia="黑体" w:cs="Times New Roman"/>
          <w:szCs w:val="21"/>
        </w:rPr>
      </w:pPr>
      <w:r>
        <w:rPr>
          <w:rFonts w:hint="eastAsia" w:ascii="黑体" w:hAnsi="黑体" w:eastAsia="黑体" w:cs="Times New Roman"/>
          <w:szCs w:val="21"/>
        </w:rPr>
        <w:t>9.1 防治原则</w:t>
      </w:r>
    </w:p>
    <w:p w14:paraId="6C1F48FB">
      <w:pPr>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预防为主，综合防治；以农业防治为基础，积极采用生态调控、物理防治、生物防治，科学合理化学防治。农药使用应符合NY/T393的要求。</w:t>
      </w:r>
    </w:p>
    <w:p w14:paraId="073FBEDF">
      <w:pPr>
        <w:rPr>
          <w:rFonts w:hint="eastAsia" w:ascii="黑体" w:hAnsi="黑体" w:eastAsia="黑体" w:cs="Times New Roman"/>
          <w:szCs w:val="21"/>
        </w:rPr>
      </w:pPr>
      <w:r>
        <w:rPr>
          <w:rFonts w:hint="eastAsia" w:ascii="黑体" w:hAnsi="黑体" w:eastAsia="黑体" w:cs="Times New Roman"/>
          <w:szCs w:val="21"/>
        </w:rPr>
        <w:t>9.2 常见病虫害</w:t>
      </w:r>
    </w:p>
    <w:p w14:paraId="338A23E4">
      <w:pPr>
        <w:rPr>
          <w:rFonts w:ascii="Times New Roman" w:hAnsi="Times New Roman" w:eastAsia="宋体" w:cs="Times New Roman"/>
          <w:szCs w:val="21"/>
        </w:rPr>
      </w:pPr>
      <w:r>
        <w:rPr>
          <w:rFonts w:hint="eastAsia" w:ascii="Times New Roman" w:hAnsi="Times New Roman" w:eastAsia="宋体" w:cs="Times New Roman"/>
          <w:szCs w:val="21"/>
        </w:rPr>
        <w:t xml:space="preserve">    白粉病、黑痘病、灰霉病、穗轴褐枯病、白粉病、炭疽病、霜霉病、白腐病等病害，透翅蛾、介壳虫、螨类、葡萄粉蚧、红蜘蛛、斑衣蜡蝉等虫害。</w:t>
      </w:r>
    </w:p>
    <w:p w14:paraId="558FA21E">
      <w:pPr>
        <w:rPr>
          <w:rFonts w:hint="eastAsia" w:ascii="黑体" w:hAnsi="黑体" w:eastAsia="黑体" w:cs="Times New Roman"/>
          <w:szCs w:val="21"/>
        </w:rPr>
      </w:pPr>
      <w:r>
        <w:rPr>
          <w:rFonts w:hint="eastAsia" w:ascii="黑体" w:hAnsi="黑体" w:eastAsia="黑体" w:cs="Times New Roman"/>
          <w:szCs w:val="21"/>
        </w:rPr>
        <w:t>9.3 防治措施</w:t>
      </w:r>
    </w:p>
    <w:p w14:paraId="024B2CE6">
      <w:pPr>
        <w:rPr>
          <w:rFonts w:hint="eastAsia" w:ascii="黑体" w:hAnsi="黑体" w:eastAsia="黑体" w:cs="Times New Roman"/>
          <w:szCs w:val="21"/>
        </w:rPr>
      </w:pPr>
      <w:r>
        <w:rPr>
          <w:rFonts w:hint="eastAsia" w:ascii="黑体" w:hAnsi="黑体" w:eastAsia="黑体" w:cs="Times New Roman"/>
          <w:szCs w:val="21"/>
        </w:rPr>
        <w:t>9.3.1 农业防治</w:t>
      </w:r>
    </w:p>
    <w:p w14:paraId="1906186C">
      <w:pPr>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宜采取避雨或促成设施栽培方式。结合冬季修剪，彻底清园，剪除病果、病穗、卷须，清除地面枯枝落叶，减少果园内病菌基数；雨后及时排水，防止园内积水，降低田间湿度；间伐过密植株，加强枝蔓管理，改善果园通风透光条件；增施磷、钾肥，提高植株抗病力；生长季节中，及时摘除病叶、病枝、病果、集中烧毁或深埋；拔除病毒植株，防止扩散蔓延；实行全园套袋；在葡萄树下覆盖作物秸标或园艺地布，阻止尘土和雨水飞溅，隔离病菌传染源。</w:t>
      </w:r>
    </w:p>
    <w:p w14:paraId="19E3A8CD">
      <w:pPr>
        <w:rPr>
          <w:rFonts w:hint="eastAsia" w:ascii="黑体" w:hAnsi="黑体" w:eastAsia="黑体" w:cs="Times New Roman"/>
          <w:szCs w:val="21"/>
        </w:rPr>
      </w:pPr>
      <w:r>
        <w:rPr>
          <w:rFonts w:hint="eastAsia" w:ascii="黑体" w:hAnsi="黑体" w:eastAsia="黑体" w:cs="Times New Roman"/>
          <w:szCs w:val="21"/>
        </w:rPr>
        <w:t>9.3.2 物理防治</w:t>
      </w:r>
    </w:p>
    <w:p w14:paraId="4DCF887A">
      <w:pPr>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在园内安装诱虫灯、人工捕捉害虫。</w:t>
      </w:r>
    </w:p>
    <w:p w14:paraId="2DB39F84">
      <w:pPr>
        <w:rPr>
          <w:rFonts w:hint="eastAsia" w:ascii="黑体" w:hAnsi="黑体" w:eastAsia="黑体" w:cs="Times New Roman"/>
          <w:szCs w:val="21"/>
        </w:rPr>
      </w:pPr>
      <w:r>
        <w:rPr>
          <w:rFonts w:hint="eastAsia" w:ascii="黑体" w:hAnsi="黑体" w:eastAsia="黑体" w:cs="Times New Roman"/>
          <w:szCs w:val="21"/>
        </w:rPr>
        <w:t>9.3.3 生物防治</w:t>
      </w:r>
    </w:p>
    <w:p w14:paraId="5EFB53B5">
      <w:pPr>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选用中等毒性以下的植物源、动物源、微生物源农药，矿物油和植物油制剂，矿物源农药中的硫制剂和铜制剂。</w:t>
      </w:r>
      <w:r>
        <w:rPr>
          <w:rFonts w:ascii="Times New Roman" w:hAnsi="Times New Roman" w:eastAsia="宋体" w:cs="Times New Roman"/>
          <w:szCs w:val="21"/>
        </w:rPr>
        <w:t xml:space="preserve"> </w:t>
      </w:r>
    </w:p>
    <w:p w14:paraId="6AC72EE7">
      <w:pPr>
        <w:rPr>
          <w:rFonts w:hint="eastAsia" w:ascii="黑体" w:hAnsi="黑体" w:eastAsia="黑体" w:cs="Times New Roman"/>
          <w:szCs w:val="21"/>
        </w:rPr>
      </w:pPr>
      <w:r>
        <w:rPr>
          <w:rFonts w:hint="eastAsia" w:ascii="黑体" w:hAnsi="黑体" w:eastAsia="黑体" w:cs="Times New Roman"/>
          <w:szCs w:val="21"/>
        </w:rPr>
        <w:t>9.3.4 化学防治</w:t>
      </w:r>
    </w:p>
    <w:p w14:paraId="765F4030">
      <w:pPr>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常见病虫害防治化学防治方法见附录A。</w:t>
      </w:r>
    </w:p>
    <w:p w14:paraId="02965E14">
      <w:pPr>
        <w:rPr>
          <w:rFonts w:hint="eastAsia" w:ascii="黑体" w:hAnsi="黑体" w:eastAsia="黑体" w:cs="Times New Roman"/>
          <w:szCs w:val="21"/>
        </w:rPr>
      </w:pPr>
    </w:p>
    <w:p w14:paraId="3F2E5D69">
      <w:pPr>
        <w:rPr>
          <w:rFonts w:hint="eastAsia" w:ascii="黑体" w:hAnsi="黑体" w:eastAsia="黑体" w:cs="Times New Roman"/>
          <w:szCs w:val="21"/>
        </w:rPr>
      </w:pPr>
      <w:r>
        <w:rPr>
          <w:rFonts w:hint="eastAsia" w:ascii="黑体" w:hAnsi="黑体" w:eastAsia="黑体" w:cs="Times New Roman"/>
          <w:szCs w:val="21"/>
        </w:rPr>
        <w:t>10   采收</w:t>
      </w:r>
    </w:p>
    <w:p w14:paraId="717ECC47">
      <w:pPr>
        <w:rPr>
          <w:rFonts w:ascii="Times New Roman" w:hAnsi="Times New Roman" w:eastAsia="宋体" w:cs="Times New Roman"/>
          <w:szCs w:val="21"/>
        </w:rPr>
      </w:pPr>
    </w:p>
    <w:p w14:paraId="70C2553D">
      <w:pPr>
        <w:rPr>
          <w:rFonts w:ascii="Times New Roman" w:hAnsi="Times New Roman" w:eastAsia="宋体" w:cs="Times New Roman"/>
          <w:szCs w:val="21"/>
        </w:rPr>
      </w:pPr>
      <w:r>
        <w:rPr>
          <w:rFonts w:hint="eastAsia" w:ascii="黑体" w:hAnsi="黑体" w:eastAsia="黑体" w:cs="Times New Roman"/>
          <w:szCs w:val="21"/>
        </w:rPr>
        <w:t>10.1</w:t>
      </w:r>
      <w:r>
        <w:rPr>
          <w:rFonts w:hint="eastAsia" w:ascii="Times New Roman" w:hAnsi="Times New Roman" w:eastAsia="宋体" w:cs="Times New Roman"/>
          <w:szCs w:val="21"/>
        </w:rPr>
        <w:t>当浆果充分发育成熟，表现葡萄固有色泽和风味时采收。采收前15天停止灌水、前20天禁止使用农药。</w:t>
      </w:r>
    </w:p>
    <w:p w14:paraId="6A4D0C07">
      <w:pPr>
        <w:rPr>
          <w:rFonts w:ascii="Times New Roman" w:hAnsi="Times New Roman" w:eastAsia="宋体" w:cs="Times New Roman"/>
          <w:szCs w:val="21"/>
        </w:rPr>
      </w:pPr>
      <w:r>
        <w:rPr>
          <w:rFonts w:hint="eastAsia" w:ascii="黑体" w:hAnsi="黑体" w:eastAsia="黑体" w:cs="Times New Roman"/>
          <w:szCs w:val="21"/>
        </w:rPr>
        <w:t xml:space="preserve">10.2 </w:t>
      </w:r>
      <w:r>
        <w:rPr>
          <w:rFonts w:hint="eastAsia" w:ascii="Times New Roman" w:hAnsi="Times New Roman" w:eastAsia="宋体" w:cs="Times New Roman"/>
          <w:szCs w:val="21"/>
        </w:rPr>
        <w:t>采收应在天气晴朗的早上和下午气温下降后进行，避开中午高温时段采收。</w:t>
      </w:r>
    </w:p>
    <w:p w14:paraId="28D366F3">
      <w:pPr>
        <w:rPr>
          <w:rFonts w:ascii="Times New Roman" w:hAnsi="Times New Roman" w:eastAsia="宋体" w:cs="Times New Roman"/>
          <w:szCs w:val="21"/>
        </w:rPr>
      </w:pPr>
      <w:r>
        <w:rPr>
          <w:rFonts w:hint="eastAsia" w:ascii="黑体" w:hAnsi="黑体" w:eastAsia="黑体" w:cs="Times New Roman"/>
          <w:szCs w:val="21"/>
        </w:rPr>
        <w:t xml:space="preserve">10.3 </w:t>
      </w:r>
      <w:r>
        <w:rPr>
          <w:rFonts w:hint="eastAsia" w:ascii="Times New Roman" w:hAnsi="Times New Roman" w:eastAsia="宋体" w:cs="Times New Roman"/>
          <w:szCs w:val="21"/>
        </w:rPr>
        <w:t>采收时，盛装葡萄的果筐应符合食品卫生要求的，防止二次污染。</w:t>
      </w:r>
    </w:p>
    <w:p w14:paraId="5F4B4C3B">
      <w:pPr>
        <w:rPr>
          <w:rFonts w:ascii="Times New Roman" w:hAnsi="Times New Roman" w:eastAsia="宋体" w:cs="Times New Roman"/>
          <w:szCs w:val="21"/>
        </w:rPr>
      </w:pPr>
    </w:p>
    <w:p w14:paraId="7D56C58C">
      <w:pPr>
        <w:rPr>
          <w:rFonts w:hint="eastAsia" w:ascii="黑体" w:hAnsi="黑体" w:eastAsia="黑体" w:cs="Times New Roman"/>
          <w:szCs w:val="21"/>
        </w:rPr>
      </w:pPr>
      <w:r>
        <w:rPr>
          <w:rFonts w:hint="eastAsia" w:ascii="黑体" w:hAnsi="黑体" w:eastAsia="黑体" w:cs="Times New Roman"/>
          <w:szCs w:val="21"/>
        </w:rPr>
        <w:t>11   生产废弃物处理</w:t>
      </w:r>
    </w:p>
    <w:p w14:paraId="04E57C55">
      <w:pPr>
        <w:rPr>
          <w:rFonts w:ascii="Times New Roman" w:hAnsi="Times New Roman" w:eastAsia="宋体" w:cs="Times New Roman"/>
          <w:szCs w:val="21"/>
        </w:rPr>
      </w:pPr>
    </w:p>
    <w:p w14:paraId="72DF6EB7">
      <w:pPr>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及时清理地膜、果袋、农药包装袋等废弃物，集中进行无害化处理。落叶后，将残枝落叶及杂草清理干净，集中进行无害化处理，并进行越冬病虫害的清园消毒，保持果园清洁。</w:t>
      </w:r>
    </w:p>
    <w:p w14:paraId="6BC9CE43">
      <w:pPr>
        <w:rPr>
          <w:rFonts w:hint="eastAsia" w:ascii="黑体" w:hAnsi="黑体" w:eastAsia="黑体" w:cs="Times New Roman"/>
          <w:szCs w:val="21"/>
        </w:rPr>
      </w:pPr>
    </w:p>
    <w:p w14:paraId="2EA4A4E6">
      <w:pPr>
        <w:rPr>
          <w:rFonts w:hint="eastAsia" w:ascii="黑体" w:hAnsi="黑体" w:eastAsia="黑体" w:cs="Times New Roman"/>
          <w:szCs w:val="21"/>
        </w:rPr>
      </w:pPr>
    </w:p>
    <w:p w14:paraId="51213C29">
      <w:pPr>
        <w:rPr>
          <w:rFonts w:hint="eastAsia" w:ascii="黑体" w:hAnsi="黑体" w:eastAsia="黑体" w:cs="Times New Roman"/>
          <w:szCs w:val="21"/>
        </w:rPr>
      </w:pPr>
      <w:r>
        <w:rPr>
          <w:rFonts w:hint="eastAsia" w:ascii="黑体" w:hAnsi="黑体" w:eastAsia="黑体" w:cs="Times New Roman"/>
          <w:szCs w:val="21"/>
        </w:rPr>
        <w:t>12   整理与储藏</w:t>
      </w:r>
    </w:p>
    <w:p w14:paraId="735CB012">
      <w:pPr>
        <w:rPr>
          <w:rFonts w:ascii="Times New Roman" w:hAnsi="Times New Roman" w:eastAsia="宋体" w:cs="Times New Roman"/>
          <w:szCs w:val="21"/>
        </w:rPr>
      </w:pPr>
    </w:p>
    <w:p w14:paraId="030DE078">
      <w:pPr>
        <w:rPr>
          <w:rFonts w:ascii="Times New Roman" w:hAnsi="Times New Roman" w:eastAsia="宋体" w:cs="Times New Roman"/>
          <w:szCs w:val="21"/>
        </w:rPr>
      </w:pPr>
      <w:r>
        <w:rPr>
          <w:rFonts w:hint="eastAsia" w:ascii="黑体" w:hAnsi="黑体" w:eastAsia="黑体" w:cs="Times New Roman"/>
          <w:szCs w:val="21"/>
        </w:rPr>
        <w:t xml:space="preserve">12.1 </w:t>
      </w:r>
      <w:r>
        <w:rPr>
          <w:rFonts w:hint="eastAsia" w:ascii="Times New Roman" w:hAnsi="Times New Roman" w:eastAsia="宋体" w:cs="Times New Roman"/>
          <w:szCs w:val="21"/>
        </w:rPr>
        <w:t>采收下来的葡萄应进行果穗修整，剔除病、伤、烂果粒及小果粒，分级包装。</w:t>
      </w:r>
    </w:p>
    <w:p w14:paraId="4668FA77">
      <w:pPr>
        <w:rPr>
          <w:rFonts w:ascii="Times New Roman" w:hAnsi="Times New Roman" w:eastAsia="宋体" w:cs="Times New Roman"/>
          <w:szCs w:val="21"/>
        </w:rPr>
      </w:pPr>
      <w:r>
        <w:rPr>
          <w:rFonts w:hint="eastAsia" w:ascii="黑体" w:hAnsi="黑体" w:eastAsia="黑体" w:cs="Times New Roman"/>
          <w:szCs w:val="21"/>
        </w:rPr>
        <w:t>12.2</w:t>
      </w:r>
      <w:r>
        <w:rPr>
          <w:rFonts w:hint="eastAsia" w:ascii="Times New Roman" w:hAnsi="Times New Roman" w:eastAsia="宋体" w:cs="Times New Roman"/>
          <w:szCs w:val="21"/>
        </w:rPr>
        <w:t xml:space="preserve"> 整理包装间的环境卫生和人员卫生应符合食品卫生要求。</w:t>
      </w:r>
    </w:p>
    <w:p w14:paraId="445D7AC7">
      <w:pPr>
        <w:rPr>
          <w:rFonts w:ascii="Times New Roman" w:hAnsi="Times New Roman" w:eastAsia="宋体" w:cs="Times New Roman"/>
          <w:szCs w:val="21"/>
        </w:rPr>
      </w:pPr>
      <w:r>
        <w:rPr>
          <w:rFonts w:hint="eastAsia" w:ascii="黑体" w:hAnsi="黑体" w:eastAsia="黑体" w:cs="Times New Roman"/>
          <w:szCs w:val="21"/>
        </w:rPr>
        <w:t xml:space="preserve">12.3 </w:t>
      </w:r>
      <w:r>
        <w:rPr>
          <w:rFonts w:hint="eastAsia" w:ascii="Times New Roman" w:hAnsi="Times New Roman" w:eastAsia="宋体" w:cs="Times New Roman"/>
          <w:szCs w:val="21"/>
        </w:rPr>
        <w:t>分级包装的葡萄，采用具有绿色食品标志的瓦楞纸箱盛装。箱的大小以市场适销为宜。</w:t>
      </w:r>
    </w:p>
    <w:p w14:paraId="513C0314">
      <w:pPr>
        <w:rPr>
          <w:rFonts w:ascii="Times New Roman" w:hAnsi="Times New Roman" w:eastAsia="宋体" w:cs="Times New Roman"/>
          <w:szCs w:val="21"/>
        </w:rPr>
      </w:pPr>
      <w:r>
        <w:rPr>
          <w:rFonts w:hint="eastAsia" w:ascii="黑体" w:hAnsi="黑体" w:eastAsia="黑体" w:cs="Times New Roman"/>
          <w:szCs w:val="21"/>
        </w:rPr>
        <w:t>12.4</w:t>
      </w:r>
      <w:r>
        <w:rPr>
          <w:rFonts w:hint="eastAsia" w:ascii="Times New Roman" w:hAnsi="Times New Roman" w:eastAsia="宋体" w:cs="Times New Roman"/>
          <w:szCs w:val="21"/>
        </w:rPr>
        <w:t xml:space="preserve"> 暂不上市销售的葡萄，入绿色食品专用贮存库暂存。入库前先在预冷库预冷12h～24h，预冷温度控制在－2℃～0℃，预冷结束后入保鲜库贮存，保鲜库温控制在0℃～1℃，相对湿度为90％左右。</w:t>
      </w:r>
    </w:p>
    <w:p w14:paraId="16DB1C03">
      <w:pPr>
        <w:rPr>
          <w:rFonts w:ascii="Times New Roman" w:hAnsi="Times New Roman" w:eastAsia="宋体" w:cs="Times New Roman"/>
          <w:szCs w:val="21"/>
        </w:rPr>
      </w:pPr>
    </w:p>
    <w:p w14:paraId="32966FA6">
      <w:pPr>
        <w:rPr>
          <w:rFonts w:hint="eastAsia" w:ascii="黑体" w:hAnsi="黑体" w:eastAsia="黑体" w:cs="Times New Roman"/>
          <w:szCs w:val="21"/>
        </w:rPr>
      </w:pPr>
      <w:r>
        <w:rPr>
          <w:rFonts w:hint="eastAsia" w:ascii="黑体" w:hAnsi="黑体" w:eastAsia="黑体" w:cs="Times New Roman"/>
          <w:szCs w:val="21"/>
        </w:rPr>
        <w:t>13   生产档案管理</w:t>
      </w:r>
    </w:p>
    <w:p w14:paraId="7DCB9BAC">
      <w:pPr>
        <w:rPr>
          <w:rFonts w:ascii="Times New Roman" w:hAnsi="Times New Roman" w:eastAsia="宋体" w:cs="Times New Roman"/>
          <w:szCs w:val="21"/>
        </w:rPr>
      </w:pPr>
    </w:p>
    <w:p w14:paraId="5045FCCF">
      <w:pPr>
        <w:ind w:firstLine="420" w:firstLineChars="200"/>
        <w:rPr>
          <w:rFonts w:ascii="Times New Roman" w:hAnsi="Times New Roman" w:eastAsia="宋体" w:cs="Times New Roman"/>
          <w:szCs w:val="21"/>
        </w:rPr>
      </w:pPr>
      <w:r>
        <w:rPr>
          <w:rFonts w:ascii="Times New Roman" w:hAnsi="Times New Roman" w:eastAsia="宋体" w:cs="Times New Roman"/>
          <w:szCs w:val="21"/>
        </w:rPr>
        <w:t>建立绿色食品</w:t>
      </w:r>
      <w:r>
        <w:rPr>
          <w:rFonts w:hint="eastAsia" w:ascii="Times New Roman" w:hAnsi="Times New Roman" w:eastAsia="宋体" w:cs="Times New Roman"/>
          <w:szCs w:val="21"/>
        </w:rPr>
        <w:t>葡萄</w:t>
      </w:r>
      <w:r>
        <w:rPr>
          <w:rFonts w:ascii="Times New Roman" w:hAnsi="Times New Roman" w:eastAsia="宋体" w:cs="Times New Roman"/>
          <w:szCs w:val="21"/>
        </w:rPr>
        <w:t>生产档案。</w:t>
      </w:r>
      <w:r>
        <w:rPr>
          <w:rFonts w:hint="eastAsia" w:ascii="Times New Roman" w:hAnsi="Times New Roman" w:eastAsia="宋体" w:cs="Times New Roman"/>
          <w:szCs w:val="21"/>
        </w:rPr>
        <w:t>明确记录</w:t>
      </w:r>
      <w:r>
        <w:rPr>
          <w:rFonts w:ascii="Times New Roman" w:hAnsi="Times New Roman" w:eastAsia="宋体" w:cs="Times New Roman"/>
          <w:szCs w:val="21"/>
        </w:rPr>
        <w:t>产地环境条件、生产技术、肥水管理、病虫草害的发生和防治、采收及采后处理等情况</w:t>
      </w:r>
      <w:r>
        <w:rPr>
          <w:rFonts w:hint="eastAsia" w:ascii="Times New Roman" w:hAnsi="Times New Roman" w:eastAsia="宋体" w:cs="Times New Roman"/>
          <w:szCs w:val="21"/>
        </w:rPr>
        <w:t>，明确记录保存3年以上。做到葡萄质量可追溯。</w:t>
      </w:r>
    </w:p>
    <w:p w14:paraId="2800724F">
      <w:pPr>
        <w:rPr>
          <w:rFonts w:ascii="Times New Roman" w:hAnsi="Times New Roman" w:eastAsia="宋体" w:cs="Times New Roman"/>
          <w:szCs w:val="21"/>
        </w:rPr>
      </w:pPr>
    </w:p>
    <w:p w14:paraId="342E03C3">
      <w:pPr>
        <w:rPr>
          <w:rFonts w:ascii="Times New Roman" w:hAnsi="Times New Roman" w:eastAsia="宋体" w:cs="Times New Roman"/>
          <w:szCs w:val="21"/>
        </w:rPr>
      </w:pPr>
    </w:p>
    <w:p w14:paraId="6453191E">
      <w:pPr>
        <w:rPr>
          <w:rFonts w:ascii="Times New Roman" w:hAnsi="Times New Roman" w:eastAsia="宋体" w:cs="Times New Roman"/>
          <w:szCs w:val="21"/>
        </w:rPr>
      </w:pPr>
    </w:p>
    <w:p w14:paraId="62F78676">
      <w:pPr>
        <w:rPr>
          <w:rFonts w:ascii="Times New Roman" w:hAnsi="Times New Roman" w:eastAsia="宋体" w:cs="Times New Roman"/>
          <w:szCs w:val="21"/>
        </w:rPr>
      </w:pPr>
    </w:p>
    <w:p w14:paraId="4CEE52A7">
      <w:pPr>
        <w:rPr>
          <w:rFonts w:ascii="Times New Roman" w:hAnsi="Times New Roman" w:eastAsia="宋体" w:cs="Times New Roman"/>
          <w:szCs w:val="21"/>
        </w:rPr>
      </w:pPr>
    </w:p>
    <w:p w14:paraId="0F355E8A">
      <w:pPr>
        <w:rPr>
          <w:rFonts w:ascii="Times New Roman" w:hAnsi="Times New Roman" w:eastAsia="宋体" w:cs="Times New Roman"/>
          <w:szCs w:val="21"/>
        </w:rPr>
      </w:pPr>
    </w:p>
    <w:p w14:paraId="626D6F0F">
      <w:pPr>
        <w:rPr>
          <w:rFonts w:ascii="Times New Roman" w:hAnsi="Times New Roman" w:eastAsia="宋体" w:cs="Times New Roman"/>
          <w:szCs w:val="21"/>
        </w:rPr>
      </w:pPr>
    </w:p>
    <w:p w14:paraId="1536D5DF">
      <w:pPr>
        <w:rPr>
          <w:rFonts w:ascii="Times New Roman" w:hAnsi="Times New Roman" w:eastAsia="宋体" w:cs="Times New Roman"/>
          <w:szCs w:val="21"/>
        </w:rPr>
      </w:pPr>
    </w:p>
    <w:bookmarkEnd w:id="11"/>
    <w:p w14:paraId="608B2656">
      <w:pPr>
        <w:widowControl/>
        <w:rPr>
          <w:rFonts w:hint="eastAsia" w:ascii="宋体" w:hAnsi="宋体" w:eastAsia="宋体" w:cs="仿宋"/>
          <w:bCs/>
          <w:szCs w:val="21"/>
        </w:rPr>
      </w:pPr>
    </w:p>
    <w:p w14:paraId="2BAEC94C">
      <w:pPr>
        <w:widowControl/>
        <w:rPr>
          <w:rFonts w:hint="eastAsia" w:ascii="宋体" w:hAnsi="宋体" w:eastAsia="宋体" w:cs="仿宋"/>
          <w:bCs/>
          <w:szCs w:val="21"/>
        </w:rPr>
      </w:pPr>
    </w:p>
    <w:p w14:paraId="3D31AEAB">
      <w:pPr>
        <w:widowControl/>
        <w:rPr>
          <w:rFonts w:hint="eastAsia" w:ascii="宋体" w:hAnsi="宋体" w:eastAsia="宋体" w:cs="仿宋"/>
          <w:bCs/>
          <w:szCs w:val="21"/>
        </w:rPr>
      </w:pPr>
    </w:p>
    <w:p w14:paraId="3AE6B30A">
      <w:pPr>
        <w:widowControl/>
        <w:rPr>
          <w:rFonts w:hint="eastAsia" w:ascii="宋体" w:hAnsi="宋体" w:eastAsia="宋体" w:cs="仿宋"/>
          <w:bCs/>
          <w:szCs w:val="21"/>
        </w:rPr>
      </w:pPr>
    </w:p>
    <w:p w14:paraId="2C1D32ED">
      <w:pPr>
        <w:widowControl/>
        <w:rPr>
          <w:rFonts w:hint="eastAsia" w:ascii="宋体" w:hAnsi="宋体" w:eastAsia="宋体" w:cs="仿宋"/>
          <w:bCs/>
          <w:szCs w:val="21"/>
        </w:rPr>
      </w:pPr>
    </w:p>
    <w:p w14:paraId="284FD4E5">
      <w:pPr>
        <w:widowControl/>
        <w:rPr>
          <w:rFonts w:hint="eastAsia" w:ascii="宋体" w:hAnsi="宋体" w:eastAsia="宋体" w:cs="仿宋"/>
          <w:bCs/>
          <w:szCs w:val="21"/>
        </w:rPr>
      </w:pPr>
    </w:p>
    <w:p w14:paraId="3CE9A168">
      <w:pPr>
        <w:widowControl/>
        <w:rPr>
          <w:rFonts w:hint="eastAsia" w:ascii="宋体" w:hAnsi="宋体" w:eastAsia="宋体" w:cs="仿宋"/>
          <w:bCs/>
          <w:szCs w:val="21"/>
        </w:rPr>
      </w:pPr>
    </w:p>
    <w:p w14:paraId="1C1F9759">
      <w:pPr>
        <w:widowControl/>
        <w:rPr>
          <w:rFonts w:hint="eastAsia" w:ascii="宋体" w:hAnsi="宋体" w:eastAsia="宋体" w:cs="仿宋"/>
          <w:bCs/>
          <w:szCs w:val="21"/>
        </w:rPr>
      </w:pPr>
    </w:p>
    <w:p w14:paraId="64C08285">
      <w:pPr>
        <w:widowControl/>
        <w:rPr>
          <w:rFonts w:hint="eastAsia" w:ascii="宋体" w:hAnsi="宋体" w:eastAsia="宋体" w:cs="仿宋"/>
          <w:bCs/>
          <w:szCs w:val="21"/>
        </w:rPr>
      </w:pPr>
    </w:p>
    <w:p w14:paraId="0F8341EA">
      <w:pPr>
        <w:widowControl/>
        <w:rPr>
          <w:rFonts w:hint="eastAsia" w:ascii="宋体" w:hAnsi="宋体" w:eastAsia="宋体" w:cs="仿宋"/>
          <w:bCs/>
          <w:szCs w:val="21"/>
        </w:rPr>
      </w:pPr>
    </w:p>
    <w:p w14:paraId="253553E3">
      <w:pPr>
        <w:widowControl/>
        <w:rPr>
          <w:rFonts w:hint="eastAsia" w:ascii="宋体" w:hAnsi="宋体" w:eastAsia="宋体" w:cs="仿宋"/>
          <w:bCs/>
          <w:szCs w:val="21"/>
        </w:rPr>
      </w:pPr>
    </w:p>
    <w:p w14:paraId="6EDCD9AC">
      <w:pPr>
        <w:widowControl/>
        <w:rPr>
          <w:rFonts w:hint="eastAsia" w:ascii="宋体" w:hAnsi="宋体" w:eastAsia="宋体" w:cs="仿宋"/>
          <w:bCs/>
          <w:szCs w:val="21"/>
        </w:rPr>
      </w:pPr>
    </w:p>
    <w:p w14:paraId="38DA99A6">
      <w:pPr>
        <w:widowControl/>
        <w:rPr>
          <w:rFonts w:hint="eastAsia" w:ascii="宋体" w:hAnsi="宋体" w:eastAsia="宋体" w:cs="仿宋"/>
          <w:bCs/>
          <w:szCs w:val="21"/>
        </w:rPr>
      </w:pPr>
    </w:p>
    <w:p w14:paraId="51DAB605">
      <w:pPr>
        <w:widowControl/>
        <w:rPr>
          <w:rFonts w:hint="eastAsia" w:ascii="宋体" w:hAnsi="宋体" w:eastAsia="宋体" w:cs="仿宋"/>
          <w:bCs/>
          <w:szCs w:val="21"/>
        </w:rPr>
      </w:pPr>
    </w:p>
    <w:p w14:paraId="55BCD473">
      <w:pPr>
        <w:widowControl/>
        <w:rPr>
          <w:rFonts w:hint="eastAsia" w:ascii="宋体" w:hAnsi="宋体" w:eastAsia="宋体" w:cs="仿宋"/>
          <w:bCs/>
          <w:szCs w:val="21"/>
        </w:rPr>
      </w:pPr>
    </w:p>
    <w:p w14:paraId="793CECB6">
      <w:pPr>
        <w:widowControl/>
        <w:rPr>
          <w:rFonts w:hint="eastAsia" w:ascii="宋体" w:hAnsi="宋体" w:eastAsia="宋体" w:cs="仿宋"/>
          <w:bCs/>
          <w:szCs w:val="21"/>
        </w:rPr>
      </w:pPr>
    </w:p>
    <w:p w14:paraId="7F446D18">
      <w:pPr>
        <w:widowControl/>
        <w:rPr>
          <w:rFonts w:hint="eastAsia" w:ascii="宋体" w:hAnsi="宋体" w:eastAsia="宋体" w:cs="仿宋"/>
          <w:bCs/>
          <w:szCs w:val="21"/>
        </w:rPr>
      </w:pPr>
    </w:p>
    <w:p w14:paraId="29FD07DD">
      <w:pPr>
        <w:widowControl/>
        <w:rPr>
          <w:rFonts w:hint="eastAsia" w:ascii="宋体" w:hAnsi="宋体" w:eastAsia="宋体" w:cs="仿宋"/>
          <w:bCs/>
          <w:szCs w:val="21"/>
        </w:rPr>
      </w:pPr>
    </w:p>
    <w:p w14:paraId="4A424D21">
      <w:pPr>
        <w:widowControl/>
        <w:rPr>
          <w:rFonts w:hint="eastAsia" w:ascii="宋体" w:hAnsi="宋体" w:eastAsia="宋体" w:cs="仿宋"/>
          <w:bCs/>
          <w:szCs w:val="21"/>
        </w:rPr>
      </w:pPr>
    </w:p>
    <w:p w14:paraId="46796409">
      <w:pPr>
        <w:widowControl/>
        <w:rPr>
          <w:rFonts w:hint="eastAsia" w:ascii="宋体" w:hAnsi="宋体" w:eastAsia="宋体" w:cs="仿宋"/>
          <w:bCs/>
          <w:szCs w:val="21"/>
        </w:rPr>
      </w:pPr>
    </w:p>
    <w:p w14:paraId="1B340BBE">
      <w:pPr>
        <w:widowControl/>
        <w:rPr>
          <w:rFonts w:hint="eastAsia" w:ascii="宋体" w:hAnsi="宋体" w:eastAsia="宋体" w:cs="仿宋"/>
          <w:bCs/>
          <w:szCs w:val="21"/>
        </w:rPr>
      </w:pPr>
    </w:p>
    <w:p w14:paraId="14F44404">
      <w:pPr>
        <w:widowControl/>
        <w:rPr>
          <w:rFonts w:hint="eastAsia" w:ascii="宋体" w:hAnsi="宋体" w:eastAsia="宋体" w:cs="仿宋"/>
          <w:bCs/>
          <w:szCs w:val="21"/>
        </w:rPr>
      </w:pPr>
    </w:p>
    <w:p w14:paraId="70C2DFAE">
      <w:pPr>
        <w:widowControl/>
        <w:rPr>
          <w:rFonts w:hint="eastAsia" w:ascii="宋体" w:hAnsi="宋体" w:eastAsia="宋体" w:cs="仿宋"/>
          <w:bCs/>
          <w:szCs w:val="21"/>
        </w:rPr>
      </w:pPr>
    </w:p>
    <w:p w14:paraId="780DEC40">
      <w:pPr>
        <w:jc w:val="center"/>
        <w:rPr>
          <w:rFonts w:hint="eastAsia" w:ascii="黑体" w:hAnsi="黑体" w:eastAsia="黑体"/>
          <w:sz w:val="24"/>
          <w:szCs w:val="24"/>
        </w:rPr>
      </w:pPr>
      <w:r>
        <w:rPr>
          <w:rFonts w:hint="eastAsia" w:ascii="黑体" w:hAnsi="黑体" w:eastAsia="黑体"/>
          <w:sz w:val="24"/>
          <w:szCs w:val="24"/>
        </w:rPr>
        <w:t xml:space="preserve">附 录 A </w:t>
      </w:r>
    </w:p>
    <w:p w14:paraId="492D4404">
      <w:pPr>
        <w:jc w:val="center"/>
        <w:rPr>
          <w:rFonts w:hint="eastAsia" w:ascii="黑体" w:hAnsi="黑体" w:eastAsia="黑体"/>
          <w:sz w:val="24"/>
          <w:szCs w:val="24"/>
        </w:rPr>
      </w:pPr>
      <w:r>
        <w:rPr>
          <w:rFonts w:hint="eastAsia" w:ascii="黑体" w:hAnsi="黑体" w:eastAsia="黑体"/>
          <w:sz w:val="24"/>
          <w:szCs w:val="24"/>
        </w:rPr>
        <w:t>（资料性附录）</w:t>
      </w:r>
    </w:p>
    <w:p w14:paraId="28BA8331">
      <w:pPr>
        <w:widowControl/>
        <w:jc w:val="center"/>
        <w:rPr>
          <w:rFonts w:hint="eastAsia" w:ascii="黑体" w:hAnsi="黑体" w:eastAsia="黑体" w:cs="Times New Roman"/>
          <w:b/>
          <w:bCs/>
          <w:kern w:val="0"/>
          <w:sz w:val="24"/>
          <w:szCs w:val="24"/>
        </w:rPr>
      </w:pPr>
      <w:r>
        <w:rPr>
          <w:rFonts w:hint="eastAsia" w:ascii="黑体" w:hAnsi="黑体" w:eastAsia="黑体" w:cs="Times New Roman"/>
          <w:bCs/>
          <w:kern w:val="0"/>
          <w:sz w:val="24"/>
          <w:szCs w:val="24"/>
        </w:rPr>
        <w:t>绿色食品 江苏浙江葡萄生产主要病虫害防治推荐农药使用方案</w:t>
      </w:r>
    </w:p>
    <w:p w14:paraId="16E372E7">
      <w:pPr>
        <w:widowControl/>
        <w:rPr>
          <w:rFonts w:hint="eastAsia" w:ascii="宋体" w:hAnsi="宋体" w:eastAsia="宋体" w:cs="Times New Roman"/>
          <w:b/>
          <w:bCs/>
          <w:kern w:val="0"/>
          <w:szCs w:val="21"/>
        </w:rPr>
      </w:pPr>
      <w:r>
        <w:rPr>
          <w:rFonts w:hint="eastAsia" w:ascii="宋体" w:hAnsi="宋体" w:eastAsia="宋体" w:cs="Times New Roman"/>
          <w:bCs/>
          <w:kern w:val="0"/>
          <w:szCs w:val="21"/>
        </w:rPr>
        <w:t>表A.1 绿色食品 江苏浙江葡萄生产主要病虫害防治推荐农药使用方案</w:t>
      </w:r>
    </w:p>
    <w:p w14:paraId="6C08800B">
      <w:pPr>
        <w:jc w:val="center"/>
        <w:rPr>
          <w:rFonts w:hint="eastAsia" w:ascii="黑体" w:hAnsi="黑体" w:eastAsia="黑体"/>
          <w:sz w:val="24"/>
          <w:szCs w:val="24"/>
        </w:rPr>
      </w:pPr>
    </w:p>
    <w:p w14:paraId="7BF78695">
      <w:pPr>
        <w:widowControl/>
        <w:jc w:val="center"/>
        <w:rPr>
          <w:rFonts w:hint="eastAsia" w:ascii="黑体" w:hAnsi="黑体" w:eastAsia="黑体" w:cs="Times New Roman"/>
          <w:b/>
          <w:bCs/>
          <w:kern w:val="0"/>
          <w:sz w:val="24"/>
          <w:szCs w:val="24"/>
        </w:rPr>
      </w:pPr>
      <w:bookmarkStart w:id="13" w:name="OLE_LINK3"/>
      <w:r>
        <w:rPr>
          <w:rFonts w:hint="eastAsia" w:ascii="黑体" w:hAnsi="黑体" w:eastAsia="黑体" w:cs="Times New Roman"/>
          <w:bCs/>
          <w:kern w:val="0"/>
          <w:sz w:val="24"/>
          <w:szCs w:val="24"/>
        </w:rPr>
        <w:t>表A.1 绿色食品 江苏浙江葡萄生产主要病虫害防治推荐农药使用方案</w:t>
      </w:r>
    </w:p>
    <w:bookmarkEnd w:id="13"/>
    <w:tbl>
      <w:tblPr>
        <w:tblStyle w:val="41"/>
        <w:tblW w:w="9592" w:type="dxa"/>
        <w:tblInd w:w="-6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8"/>
        <w:gridCol w:w="1497"/>
        <w:gridCol w:w="2912"/>
        <w:gridCol w:w="1719"/>
        <w:gridCol w:w="1068"/>
        <w:gridCol w:w="1058"/>
      </w:tblGrid>
      <w:tr w14:paraId="7EDDE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338" w:type="dxa"/>
            <w:vAlign w:val="center"/>
          </w:tcPr>
          <w:p w14:paraId="7609B42F">
            <w:pPr>
              <w:adjustRightInd w:val="0"/>
              <w:snapToGrid w:val="0"/>
              <w:jc w:val="center"/>
              <w:rPr>
                <w:rFonts w:hint="eastAsia"/>
                <w:color w:val="000000" w:themeColor="text1"/>
                <w14:textFill>
                  <w14:solidFill>
                    <w14:schemeClr w14:val="tx1"/>
                  </w14:solidFill>
                </w14:textFill>
              </w:rPr>
            </w:pPr>
            <w:bookmarkStart w:id="14" w:name="_Hlk224913801"/>
            <w:r>
              <w:rPr>
                <w:rFonts w:hint="eastAsia"/>
                <w:color w:val="000000" w:themeColor="text1"/>
                <w14:textFill>
                  <w14:solidFill>
                    <w14:schemeClr w14:val="tx1"/>
                  </w14:solidFill>
                </w14:textFill>
              </w:rPr>
              <w:t>防治对象</w:t>
            </w:r>
          </w:p>
        </w:tc>
        <w:tc>
          <w:tcPr>
            <w:tcW w:w="1497" w:type="dxa"/>
            <w:vAlign w:val="center"/>
          </w:tcPr>
          <w:p w14:paraId="6D526323">
            <w:pPr>
              <w:adjustRightInd w:val="0"/>
              <w:snapToGrid w:val="0"/>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防治时期</w:t>
            </w:r>
          </w:p>
        </w:tc>
        <w:tc>
          <w:tcPr>
            <w:tcW w:w="2912" w:type="dxa"/>
            <w:vAlign w:val="center"/>
          </w:tcPr>
          <w:p w14:paraId="0CB21D7E">
            <w:pPr>
              <w:adjustRightInd w:val="0"/>
              <w:snapToGrid w:val="0"/>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药剂名称及使用浓度</w:t>
            </w:r>
          </w:p>
        </w:tc>
        <w:tc>
          <w:tcPr>
            <w:tcW w:w="1719" w:type="dxa"/>
            <w:vAlign w:val="center"/>
          </w:tcPr>
          <w:p w14:paraId="28223448">
            <w:pPr>
              <w:adjustRightInd w:val="0"/>
              <w:snapToGrid w:val="0"/>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用药量</w:t>
            </w:r>
          </w:p>
        </w:tc>
        <w:tc>
          <w:tcPr>
            <w:tcW w:w="1068" w:type="dxa"/>
            <w:vAlign w:val="center"/>
          </w:tcPr>
          <w:p w14:paraId="433C68E6">
            <w:pPr>
              <w:adjustRightInd w:val="0"/>
              <w:snapToGrid w:val="0"/>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使用方法</w:t>
            </w:r>
          </w:p>
        </w:tc>
        <w:tc>
          <w:tcPr>
            <w:tcW w:w="1058" w:type="dxa"/>
            <w:vAlign w:val="center"/>
          </w:tcPr>
          <w:p w14:paraId="7F9128FA">
            <w:pPr>
              <w:adjustRightInd w:val="0"/>
              <w:snapToGrid w:val="0"/>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安全间隔期（天）</w:t>
            </w:r>
          </w:p>
        </w:tc>
      </w:tr>
      <w:tr w14:paraId="2EE06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38" w:type="dxa"/>
            <w:vMerge w:val="restart"/>
            <w:vAlign w:val="center"/>
          </w:tcPr>
          <w:p w14:paraId="23121796">
            <w:pPr>
              <w:adjustRightInd w:val="0"/>
              <w:snapToGrid w:val="0"/>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白粉病</w:t>
            </w:r>
          </w:p>
        </w:tc>
        <w:tc>
          <w:tcPr>
            <w:tcW w:w="1497" w:type="dxa"/>
            <w:vMerge w:val="restart"/>
            <w:vAlign w:val="center"/>
          </w:tcPr>
          <w:p w14:paraId="081F8C91">
            <w:pPr>
              <w:adjustRightInd w:val="0"/>
              <w:snapToGrid w:val="0"/>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发病初期</w:t>
            </w:r>
          </w:p>
        </w:tc>
        <w:tc>
          <w:tcPr>
            <w:tcW w:w="2912" w:type="dxa"/>
            <w:tcBorders>
              <w:bottom w:val="single" w:color="auto" w:sz="4" w:space="0"/>
            </w:tcBorders>
            <w:vAlign w:val="center"/>
          </w:tcPr>
          <w:p w14:paraId="3D605D8F">
            <w:pPr>
              <w:adjustRightInd w:val="0"/>
              <w:snapToGrid w:val="0"/>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29%石硫合剂水剂</w:t>
            </w:r>
          </w:p>
        </w:tc>
        <w:tc>
          <w:tcPr>
            <w:tcW w:w="1719" w:type="dxa"/>
            <w:tcBorders>
              <w:bottom w:val="single" w:color="auto" w:sz="4" w:space="0"/>
            </w:tcBorders>
            <w:vAlign w:val="center"/>
          </w:tcPr>
          <w:p w14:paraId="34F20A58">
            <w:pPr>
              <w:adjustRightInd w:val="0"/>
              <w:snapToGrid w:val="0"/>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6-9倍液</w:t>
            </w:r>
          </w:p>
        </w:tc>
        <w:tc>
          <w:tcPr>
            <w:tcW w:w="1068" w:type="dxa"/>
            <w:tcBorders>
              <w:bottom w:val="single" w:color="auto" w:sz="4" w:space="0"/>
            </w:tcBorders>
            <w:vAlign w:val="center"/>
          </w:tcPr>
          <w:p w14:paraId="4483B22D">
            <w:pPr>
              <w:adjustRightInd w:val="0"/>
              <w:snapToGrid w:val="0"/>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喷雾</w:t>
            </w:r>
          </w:p>
        </w:tc>
        <w:tc>
          <w:tcPr>
            <w:tcW w:w="1058" w:type="dxa"/>
            <w:tcBorders>
              <w:bottom w:val="single" w:color="auto" w:sz="4" w:space="0"/>
            </w:tcBorders>
            <w:vAlign w:val="center"/>
          </w:tcPr>
          <w:p w14:paraId="0B574AE2">
            <w:pPr>
              <w:adjustRightInd w:val="0"/>
              <w:snapToGrid w:val="0"/>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15</w:t>
            </w:r>
          </w:p>
        </w:tc>
      </w:tr>
      <w:tr w14:paraId="0C8EE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38" w:type="dxa"/>
            <w:vMerge w:val="continue"/>
            <w:vAlign w:val="center"/>
          </w:tcPr>
          <w:p w14:paraId="72ECEFE0">
            <w:pPr>
              <w:adjustRightInd w:val="0"/>
              <w:snapToGrid w:val="0"/>
              <w:jc w:val="center"/>
              <w:rPr>
                <w:rFonts w:hint="eastAsia"/>
                <w:color w:val="000000" w:themeColor="text1"/>
                <w14:textFill>
                  <w14:solidFill>
                    <w14:schemeClr w14:val="tx1"/>
                  </w14:solidFill>
                </w14:textFill>
              </w:rPr>
            </w:pPr>
          </w:p>
        </w:tc>
        <w:tc>
          <w:tcPr>
            <w:tcW w:w="1497" w:type="dxa"/>
            <w:vMerge w:val="continue"/>
            <w:vAlign w:val="center"/>
          </w:tcPr>
          <w:p w14:paraId="06BB5E10">
            <w:pPr>
              <w:adjustRightInd w:val="0"/>
              <w:snapToGrid w:val="0"/>
              <w:jc w:val="center"/>
              <w:rPr>
                <w:rFonts w:hint="eastAsia"/>
                <w:color w:val="000000" w:themeColor="text1"/>
                <w14:textFill>
                  <w14:solidFill>
                    <w14:schemeClr w14:val="tx1"/>
                  </w14:solidFill>
                </w14:textFill>
              </w:rPr>
            </w:pPr>
          </w:p>
        </w:tc>
        <w:tc>
          <w:tcPr>
            <w:tcW w:w="2912" w:type="dxa"/>
            <w:tcBorders>
              <w:bottom w:val="single" w:color="auto" w:sz="4" w:space="0"/>
            </w:tcBorders>
            <w:vAlign w:val="center"/>
          </w:tcPr>
          <w:p w14:paraId="5D143EB0">
            <w:pPr>
              <w:adjustRightInd w:val="0"/>
              <w:snapToGrid w:val="0"/>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4%嘧啶核苷类抗菌素水剂</w:t>
            </w:r>
          </w:p>
        </w:tc>
        <w:tc>
          <w:tcPr>
            <w:tcW w:w="1719" w:type="dxa"/>
            <w:tcBorders>
              <w:bottom w:val="single" w:color="auto" w:sz="4" w:space="0"/>
            </w:tcBorders>
            <w:vAlign w:val="center"/>
          </w:tcPr>
          <w:p w14:paraId="6CB5CC96">
            <w:pPr>
              <w:adjustRightInd w:val="0"/>
              <w:snapToGrid w:val="0"/>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400倍液</w:t>
            </w:r>
          </w:p>
        </w:tc>
        <w:tc>
          <w:tcPr>
            <w:tcW w:w="1068" w:type="dxa"/>
            <w:tcBorders>
              <w:bottom w:val="single" w:color="auto" w:sz="4" w:space="0"/>
            </w:tcBorders>
            <w:vAlign w:val="center"/>
          </w:tcPr>
          <w:p w14:paraId="157690DA">
            <w:pPr>
              <w:adjustRightInd w:val="0"/>
              <w:snapToGrid w:val="0"/>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喷雾</w:t>
            </w:r>
          </w:p>
        </w:tc>
        <w:tc>
          <w:tcPr>
            <w:tcW w:w="1058" w:type="dxa"/>
            <w:tcBorders>
              <w:bottom w:val="single" w:color="auto" w:sz="4" w:space="0"/>
            </w:tcBorders>
            <w:vAlign w:val="center"/>
          </w:tcPr>
          <w:p w14:paraId="009FC681">
            <w:pPr>
              <w:adjustRightInd w:val="0"/>
              <w:snapToGrid w:val="0"/>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w:t>
            </w:r>
          </w:p>
        </w:tc>
      </w:tr>
      <w:tr w14:paraId="33514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38" w:type="dxa"/>
            <w:vMerge w:val="continue"/>
            <w:tcBorders>
              <w:bottom w:val="single" w:color="auto" w:sz="4" w:space="0"/>
            </w:tcBorders>
            <w:vAlign w:val="center"/>
          </w:tcPr>
          <w:p w14:paraId="60F53727">
            <w:pPr>
              <w:adjustRightInd w:val="0"/>
              <w:snapToGrid w:val="0"/>
              <w:jc w:val="center"/>
              <w:rPr>
                <w:rFonts w:hint="eastAsia"/>
                <w:color w:val="000000" w:themeColor="text1"/>
                <w14:textFill>
                  <w14:solidFill>
                    <w14:schemeClr w14:val="tx1"/>
                  </w14:solidFill>
                </w14:textFill>
              </w:rPr>
            </w:pPr>
          </w:p>
        </w:tc>
        <w:tc>
          <w:tcPr>
            <w:tcW w:w="1497" w:type="dxa"/>
            <w:vMerge w:val="continue"/>
            <w:tcBorders>
              <w:bottom w:val="single" w:color="auto" w:sz="4" w:space="0"/>
            </w:tcBorders>
            <w:vAlign w:val="center"/>
          </w:tcPr>
          <w:p w14:paraId="3A51B0F1">
            <w:pPr>
              <w:adjustRightInd w:val="0"/>
              <w:snapToGrid w:val="0"/>
              <w:jc w:val="center"/>
              <w:rPr>
                <w:rFonts w:hint="eastAsia"/>
                <w:color w:val="000000" w:themeColor="text1"/>
                <w14:textFill>
                  <w14:solidFill>
                    <w14:schemeClr w14:val="tx1"/>
                  </w14:solidFill>
                </w14:textFill>
              </w:rPr>
            </w:pPr>
          </w:p>
        </w:tc>
        <w:tc>
          <w:tcPr>
            <w:tcW w:w="2912" w:type="dxa"/>
            <w:tcBorders>
              <w:bottom w:val="single" w:color="auto" w:sz="4" w:space="0"/>
            </w:tcBorders>
            <w:vAlign w:val="center"/>
          </w:tcPr>
          <w:p w14:paraId="6AFDE092">
            <w:pPr>
              <w:adjustRightInd w:val="0"/>
              <w:snapToGrid w:val="0"/>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30%氟菌唑可湿性粉剂</w:t>
            </w:r>
          </w:p>
        </w:tc>
        <w:tc>
          <w:tcPr>
            <w:tcW w:w="1719" w:type="dxa"/>
            <w:tcBorders>
              <w:bottom w:val="single" w:color="auto" w:sz="4" w:space="0"/>
            </w:tcBorders>
            <w:vAlign w:val="center"/>
          </w:tcPr>
          <w:p w14:paraId="289D24C5">
            <w:pPr>
              <w:adjustRightInd w:val="0"/>
              <w:snapToGrid w:val="0"/>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15-18克/亩</w:t>
            </w:r>
          </w:p>
        </w:tc>
        <w:tc>
          <w:tcPr>
            <w:tcW w:w="1068" w:type="dxa"/>
            <w:tcBorders>
              <w:bottom w:val="single" w:color="auto" w:sz="4" w:space="0"/>
            </w:tcBorders>
            <w:vAlign w:val="center"/>
          </w:tcPr>
          <w:p w14:paraId="2F986A6A">
            <w:pPr>
              <w:adjustRightInd w:val="0"/>
              <w:snapToGrid w:val="0"/>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喷雾</w:t>
            </w:r>
          </w:p>
        </w:tc>
        <w:tc>
          <w:tcPr>
            <w:tcW w:w="1058" w:type="dxa"/>
            <w:tcBorders>
              <w:bottom w:val="single" w:color="auto" w:sz="4" w:space="0"/>
            </w:tcBorders>
            <w:vAlign w:val="center"/>
          </w:tcPr>
          <w:p w14:paraId="05373DFA">
            <w:pPr>
              <w:adjustRightInd w:val="0"/>
              <w:snapToGrid w:val="0"/>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7</w:t>
            </w:r>
          </w:p>
        </w:tc>
      </w:tr>
      <w:tr w14:paraId="4C849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38" w:type="dxa"/>
            <w:tcBorders>
              <w:bottom w:val="single" w:color="auto" w:sz="4" w:space="0"/>
            </w:tcBorders>
            <w:vAlign w:val="center"/>
          </w:tcPr>
          <w:p w14:paraId="5143244C">
            <w:pPr>
              <w:adjustRightInd w:val="0"/>
              <w:snapToGrid w:val="0"/>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白腐病</w:t>
            </w:r>
          </w:p>
        </w:tc>
        <w:tc>
          <w:tcPr>
            <w:tcW w:w="1497" w:type="dxa"/>
            <w:tcBorders>
              <w:bottom w:val="single" w:color="auto" w:sz="4" w:space="0"/>
            </w:tcBorders>
            <w:vAlign w:val="center"/>
          </w:tcPr>
          <w:p w14:paraId="17D46A54">
            <w:pPr>
              <w:adjustRightInd w:val="0"/>
              <w:snapToGrid w:val="0"/>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葡萄谢花20天后</w:t>
            </w:r>
          </w:p>
        </w:tc>
        <w:tc>
          <w:tcPr>
            <w:tcW w:w="2912" w:type="dxa"/>
            <w:tcBorders>
              <w:bottom w:val="single" w:color="auto" w:sz="4" w:space="0"/>
            </w:tcBorders>
            <w:vAlign w:val="center"/>
          </w:tcPr>
          <w:p w14:paraId="4AFFCF83">
            <w:pPr>
              <w:adjustRightInd w:val="0"/>
              <w:snapToGrid w:val="0"/>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78%波尔·锰锌可湿性粉剂</w:t>
            </w:r>
          </w:p>
        </w:tc>
        <w:tc>
          <w:tcPr>
            <w:tcW w:w="1719" w:type="dxa"/>
            <w:tcBorders>
              <w:bottom w:val="single" w:color="auto" w:sz="4" w:space="0"/>
            </w:tcBorders>
            <w:vAlign w:val="center"/>
          </w:tcPr>
          <w:p w14:paraId="52C8BADE">
            <w:pPr>
              <w:adjustRightInd w:val="0"/>
              <w:snapToGrid w:val="0"/>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500-600倍液</w:t>
            </w:r>
          </w:p>
        </w:tc>
        <w:tc>
          <w:tcPr>
            <w:tcW w:w="1068" w:type="dxa"/>
            <w:tcBorders>
              <w:bottom w:val="single" w:color="auto" w:sz="4" w:space="0"/>
            </w:tcBorders>
            <w:vAlign w:val="center"/>
          </w:tcPr>
          <w:p w14:paraId="79B5AE29">
            <w:pPr>
              <w:adjustRightInd w:val="0"/>
              <w:snapToGrid w:val="0"/>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喷雾</w:t>
            </w:r>
          </w:p>
        </w:tc>
        <w:tc>
          <w:tcPr>
            <w:tcW w:w="1058" w:type="dxa"/>
            <w:tcBorders>
              <w:bottom w:val="single" w:color="auto" w:sz="4" w:space="0"/>
            </w:tcBorders>
            <w:vAlign w:val="center"/>
          </w:tcPr>
          <w:p w14:paraId="49E76117">
            <w:pPr>
              <w:adjustRightInd w:val="0"/>
              <w:snapToGrid w:val="0"/>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21</w:t>
            </w:r>
          </w:p>
        </w:tc>
      </w:tr>
      <w:tr w14:paraId="3D0C7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38" w:type="dxa"/>
            <w:vAlign w:val="center"/>
          </w:tcPr>
          <w:p w14:paraId="15677FA1">
            <w:pPr>
              <w:adjustRightInd w:val="0"/>
              <w:snapToGrid w:val="0"/>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黑痘病</w:t>
            </w:r>
          </w:p>
        </w:tc>
        <w:tc>
          <w:tcPr>
            <w:tcW w:w="1497" w:type="dxa"/>
            <w:vAlign w:val="center"/>
          </w:tcPr>
          <w:p w14:paraId="3E980533">
            <w:pPr>
              <w:adjustRightInd w:val="0"/>
              <w:snapToGrid w:val="0"/>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发病前或初期</w:t>
            </w:r>
          </w:p>
        </w:tc>
        <w:tc>
          <w:tcPr>
            <w:tcW w:w="2912" w:type="dxa"/>
            <w:vAlign w:val="center"/>
          </w:tcPr>
          <w:p w14:paraId="690C5AD4">
            <w:pPr>
              <w:adjustRightInd w:val="0"/>
              <w:snapToGrid w:val="0"/>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80%代森锰锌可湿性粉剂</w:t>
            </w:r>
          </w:p>
        </w:tc>
        <w:tc>
          <w:tcPr>
            <w:tcW w:w="1719" w:type="dxa"/>
            <w:vAlign w:val="center"/>
          </w:tcPr>
          <w:p w14:paraId="1A056709">
            <w:pPr>
              <w:adjustRightInd w:val="0"/>
              <w:snapToGrid w:val="0"/>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600-800倍液</w:t>
            </w:r>
          </w:p>
        </w:tc>
        <w:tc>
          <w:tcPr>
            <w:tcW w:w="1068" w:type="dxa"/>
            <w:vAlign w:val="center"/>
          </w:tcPr>
          <w:p w14:paraId="5C4E8CF3">
            <w:pPr>
              <w:adjustRightInd w:val="0"/>
              <w:snapToGrid w:val="0"/>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喷雾</w:t>
            </w:r>
          </w:p>
        </w:tc>
        <w:tc>
          <w:tcPr>
            <w:tcW w:w="1058" w:type="dxa"/>
            <w:vAlign w:val="center"/>
          </w:tcPr>
          <w:p w14:paraId="4C822775">
            <w:pPr>
              <w:adjustRightInd w:val="0"/>
              <w:snapToGrid w:val="0"/>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28</w:t>
            </w:r>
          </w:p>
          <w:p w14:paraId="3830A3E6">
            <w:pPr>
              <w:adjustRightInd w:val="0"/>
              <w:snapToGrid w:val="0"/>
              <w:jc w:val="center"/>
              <w:rPr>
                <w:rFonts w:hint="eastAsia"/>
                <w:color w:val="000000" w:themeColor="text1"/>
                <w14:textFill>
                  <w14:solidFill>
                    <w14:schemeClr w14:val="tx1"/>
                  </w14:solidFill>
                </w14:textFill>
              </w:rPr>
            </w:pPr>
          </w:p>
        </w:tc>
      </w:tr>
      <w:tr w14:paraId="1AEE8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38" w:type="dxa"/>
            <w:vMerge w:val="restart"/>
            <w:vAlign w:val="center"/>
          </w:tcPr>
          <w:p w14:paraId="21C0000F">
            <w:pPr>
              <w:adjustRightInd w:val="0"/>
              <w:snapToGrid w:val="0"/>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灰霉病</w:t>
            </w:r>
          </w:p>
        </w:tc>
        <w:tc>
          <w:tcPr>
            <w:tcW w:w="1497" w:type="dxa"/>
            <w:vMerge w:val="restart"/>
            <w:vAlign w:val="center"/>
          </w:tcPr>
          <w:p w14:paraId="5DCF0B5A">
            <w:pPr>
              <w:adjustRightInd w:val="0"/>
              <w:snapToGrid w:val="0"/>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发病前或初期</w:t>
            </w:r>
          </w:p>
        </w:tc>
        <w:tc>
          <w:tcPr>
            <w:tcW w:w="2912" w:type="dxa"/>
            <w:vAlign w:val="center"/>
          </w:tcPr>
          <w:p w14:paraId="6AF3559B">
            <w:pPr>
              <w:adjustRightInd w:val="0"/>
              <w:snapToGrid w:val="0"/>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5</w:t>
            </w:r>
            <w:r>
              <w:rPr>
                <w:color w:val="000000" w:themeColor="text1"/>
                <w14:textFill>
                  <w14:solidFill>
                    <w14:schemeClr w14:val="tx1"/>
                  </w14:solidFill>
                </w14:textFill>
              </w:rPr>
              <w:t>0%啶酰菌胺</w:t>
            </w:r>
            <w:r>
              <w:rPr>
                <w:rFonts w:hint="eastAsia"/>
                <w:color w:val="000000" w:themeColor="text1"/>
                <w14:textFill>
                  <w14:solidFill>
                    <w14:schemeClr w14:val="tx1"/>
                  </w14:solidFill>
                </w14:textFill>
              </w:rPr>
              <w:t>水分散粒剂</w:t>
            </w:r>
          </w:p>
        </w:tc>
        <w:tc>
          <w:tcPr>
            <w:tcW w:w="1719" w:type="dxa"/>
            <w:vAlign w:val="center"/>
          </w:tcPr>
          <w:p w14:paraId="14281A51">
            <w:pPr>
              <w:adjustRightInd w:val="0"/>
              <w:snapToGrid w:val="0"/>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500-100</w:t>
            </w:r>
            <w:r>
              <w:rPr>
                <w:color w:val="000000" w:themeColor="text1"/>
                <w14:textFill>
                  <w14:solidFill>
                    <w14:schemeClr w14:val="tx1"/>
                  </w14:solidFill>
                </w14:textFill>
              </w:rPr>
              <w:t>0倍</w:t>
            </w:r>
            <w:r>
              <w:rPr>
                <w:rFonts w:hint="eastAsia"/>
                <w:color w:val="000000" w:themeColor="text1"/>
                <w14:textFill>
                  <w14:solidFill>
                    <w14:schemeClr w14:val="tx1"/>
                  </w14:solidFill>
                </w14:textFill>
              </w:rPr>
              <w:t>液</w:t>
            </w:r>
          </w:p>
        </w:tc>
        <w:tc>
          <w:tcPr>
            <w:tcW w:w="1068" w:type="dxa"/>
            <w:vAlign w:val="center"/>
          </w:tcPr>
          <w:p w14:paraId="61864467">
            <w:pPr>
              <w:adjustRightInd w:val="0"/>
              <w:snapToGrid w:val="0"/>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喷雾</w:t>
            </w:r>
          </w:p>
        </w:tc>
        <w:tc>
          <w:tcPr>
            <w:tcW w:w="1058" w:type="dxa"/>
            <w:vAlign w:val="center"/>
          </w:tcPr>
          <w:p w14:paraId="76FB1F59">
            <w:pPr>
              <w:adjustRightInd w:val="0"/>
              <w:snapToGrid w:val="0"/>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7</w:t>
            </w:r>
          </w:p>
        </w:tc>
      </w:tr>
      <w:tr w14:paraId="4B4C8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38" w:type="dxa"/>
            <w:vMerge w:val="continue"/>
            <w:vAlign w:val="center"/>
          </w:tcPr>
          <w:p w14:paraId="4B435405">
            <w:pPr>
              <w:adjustRightInd w:val="0"/>
              <w:snapToGrid w:val="0"/>
              <w:jc w:val="center"/>
              <w:rPr>
                <w:rFonts w:hint="eastAsia"/>
                <w:color w:val="000000" w:themeColor="text1"/>
                <w14:textFill>
                  <w14:solidFill>
                    <w14:schemeClr w14:val="tx1"/>
                  </w14:solidFill>
                </w14:textFill>
              </w:rPr>
            </w:pPr>
          </w:p>
        </w:tc>
        <w:tc>
          <w:tcPr>
            <w:tcW w:w="1497" w:type="dxa"/>
            <w:vMerge w:val="continue"/>
            <w:vAlign w:val="center"/>
          </w:tcPr>
          <w:p w14:paraId="70FB2A04">
            <w:pPr>
              <w:adjustRightInd w:val="0"/>
              <w:snapToGrid w:val="0"/>
              <w:jc w:val="center"/>
              <w:rPr>
                <w:rFonts w:hint="eastAsia"/>
                <w:color w:val="000000" w:themeColor="text1"/>
                <w14:textFill>
                  <w14:solidFill>
                    <w14:schemeClr w14:val="tx1"/>
                  </w14:solidFill>
                </w14:textFill>
              </w:rPr>
            </w:pPr>
          </w:p>
        </w:tc>
        <w:tc>
          <w:tcPr>
            <w:tcW w:w="2912" w:type="dxa"/>
            <w:vAlign w:val="center"/>
          </w:tcPr>
          <w:p w14:paraId="6E87D25D">
            <w:pPr>
              <w:adjustRightInd w:val="0"/>
              <w:snapToGrid w:val="0"/>
              <w:jc w:val="center"/>
              <w:rPr>
                <w:rFonts w:hint="eastAsia"/>
                <w:color w:val="000000" w:themeColor="text1"/>
                <w14:textFill>
                  <w14:solidFill>
                    <w14:schemeClr w14:val="tx1"/>
                  </w14:solidFill>
                </w14:textFill>
              </w:rPr>
            </w:pPr>
            <w:r>
              <w:rPr>
                <w:color w:val="000000" w:themeColor="text1"/>
                <w14:textFill>
                  <w14:solidFill>
                    <w14:schemeClr w14:val="tx1"/>
                  </w14:solidFill>
                </w14:textFill>
              </w:rPr>
              <w:t>400克/升嘧霉胺</w:t>
            </w:r>
            <w:r>
              <w:rPr>
                <w:rFonts w:hint="eastAsia"/>
                <w:color w:val="000000" w:themeColor="text1"/>
                <w14:textFill>
                  <w14:solidFill>
                    <w14:schemeClr w14:val="tx1"/>
                  </w14:solidFill>
                </w14:textFill>
              </w:rPr>
              <w:t>悬浮剂</w:t>
            </w:r>
          </w:p>
        </w:tc>
        <w:tc>
          <w:tcPr>
            <w:tcW w:w="1719" w:type="dxa"/>
            <w:vAlign w:val="center"/>
          </w:tcPr>
          <w:p w14:paraId="6B9E1DD0">
            <w:pPr>
              <w:adjustRightInd w:val="0"/>
              <w:snapToGrid w:val="0"/>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1000-</w:t>
            </w:r>
            <w:r>
              <w:rPr>
                <w:color w:val="000000" w:themeColor="text1"/>
                <w14:textFill>
                  <w14:solidFill>
                    <w14:schemeClr w14:val="tx1"/>
                  </w14:solidFill>
                </w14:textFill>
              </w:rPr>
              <w:t>1500倍</w:t>
            </w:r>
            <w:r>
              <w:rPr>
                <w:rFonts w:hint="eastAsia"/>
                <w:color w:val="000000" w:themeColor="text1"/>
                <w14:textFill>
                  <w14:solidFill>
                    <w14:schemeClr w14:val="tx1"/>
                  </w14:solidFill>
                </w14:textFill>
              </w:rPr>
              <w:t>液</w:t>
            </w:r>
          </w:p>
        </w:tc>
        <w:tc>
          <w:tcPr>
            <w:tcW w:w="1068" w:type="dxa"/>
            <w:vAlign w:val="center"/>
          </w:tcPr>
          <w:p w14:paraId="2BEAA149">
            <w:pPr>
              <w:adjustRightInd w:val="0"/>
              <w:snapToGrid w:val="0"/>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喷雾</w:t>
            </w:r>
          </w:p>
        </w:tc>
        <w:tc>
          <w:tcPr>
            <w:tcW w:w="1058" w:type="dxa"/>
            <w:vAlign w:val="center"/>
          </w:tcPr>
          <w:p w14:paraId="633A3693">
            <w:pPr>
              <w:adjustRightInd w:val="0"/>
              <w:snapToGrid w:val="0"/>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7</w:t>
            </w:r>
          </w:p>
        </w:tc>
      </w:tr>
      <w:tr w14:paraId="270C4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38" w:type="dxa"/>
            <w:vMerge w:val="continue"/>
            <w:vAlign w:val="center"/>
          </w:tcPr>
          <w:p w14:paraId="514CD899">
            <w:pPr>
              <w:adjustRightInd w:val="0"/>
              <w:snapToGrid w:val="0"/>
              <w:jc w:val="center"/>
              <w:rPr>
                <w:rFonts w:hint="eastAsia"/>
                <w:color w:val="000000" w:themeColor="text1"/>
                <w14:textFill>
                  <w14:solidFill>
                    <w14:schemeClr w14:val="tx1"/>
                  </w14:solidFill>
                </w14:textFill>
              </w:rPr>
            </w:pPr>
          </w:p>
        </w:tc>
        <w:tc>
          <w:tcPr>
            <w:tcW w:w="1497" w:type="dxa"/>
            <w:vMerge w:val="continue"/>
            <w:vAlign w:val="center"/>
          </w:tcPr>
          <w:p w14:paraId="0C1E52FB">
            <w:pPr>
              <w:adjustRightInd w:val="0"/>
              <w:snapToGrid w:val="0"/>
              <w:jc w:val="center"/>
              <w:rPr>
                <w:rFonts w:hint="eastAsia"/>
                <w:color w:val="000000" w:themeColor="text1"/>
                <w14:textFill>
                  <w14:solidFill>
                    <w14:schemeClr w14:val="tx1"/>
                  </w14:solidFill>
                </w14:textFill>
              </w:rPr>
            </w:pPr>
          </w:p>
        </w:tc>
        <w:tc>
          <w:tcPr>
            <w:tcW w:w="2912" w:type="dxa"/>
            <w:vAlign w:val="center"/>
          </w:tcPr>
          <w:p w14:paraId="02622228">
            <w:pPr>
              <w:adjustRightInd w:val="0"/>
              <w:snapToGrid w:val="0"/>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500克/升异菌脲悬浮剂</w:t>
            </w:r>
          </w:p>
        </w:tc>
        <w:tc>
          <w:tcPr>
            <w:tcW w:w="1719" w:type="dxa"/>
            <w:vAlign w:val="center"/>
          </w:tcPr>
          <w:p w14:paraId="09C50A23">
            <w:pPr>
              <w:adjustRightInd w:val="0"/>
              <w:snapToGrid w:val="0"/>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750-850</w:t>
            </w:r>
            <w:r>
              <w:rPr>
                <w:color w:val="000000" w:themeColor="text1"/>
                <w14:textFill>
                  <w14:solidFill>
                    <w14:schemeClr w14:val="tx1"/>
                  </w14:solidFill>
                </w14:textFill>
              </w:rPr>
              <w:t>倍液</w:t>
            </w:r>
          </w:p>
        </w:tc>
        <w:tc>
          <w:tcPr>
            <w:tcW w:w="1068" w:type="dxa"/>
            <w:vAlign w:val="center"/>
          </w:tcPr>
          <w:p w14:paraId="67229DA2">
            <w:pPr>
              <w:adjustRightInd w:val="0"/>
              <w:snapToGrid w:val="0"/>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喷雾</w:t>
            </w:r>
          </w:p>
        </w:tc>
        <w:tc>
          <w:tcPr>
            <w:tcW w:w="1058" w:type="dxa"/>
            <w:vAlign w:val="center"/>
          </w:tcPr>
          <w:p w14:paraId="3606342C">
            <w:pPr>
              <w:adjustRightInd w:val="0"/>
              <w:snapToGrid w:val="0"/>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14</w:t>
            </w:r>
          </w:p>
        </w:tc>
      </w:tr>
      <w:tr w14:paraId="4C406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38" w:type="dxa"/>
            <w:vMerge w:val="continue"/>
            <w:vAlign w:val="center"/>
          </w:tcPr>
          <w:p w14:paraId="1E39FD5B">
            <w:pPr>
              <w:adjustRightInd w:val="0"/>
              <w:snapToGrid w:val="0"/>
              <w:jc w:val="center"/>
              <w:rPr>
                <w:rFonts w:hint="eastAsia"/>
                <w:color w:val="000000" w:themeColor="text1"/>
                <w14:textFill>
                  <w14:solidFill>
                    <w14:schemeClr w14:val="tx1"/>
                  </w14:solidFill>
                </w14:textFill>
              </w:rPr>
            </w:pPr>
          </w:p>
        </w:tc>
        <w:tc>
          <w:tcPr>
            <w:tcW w:w="1497" w:type="dxa"/>
            <w:vMerge w:val="continue"/>
            <w:vAlign w:val="center"/>
          </w:tcPr>
          <w:p w14:paraId="31B93EB6">
            <w:pPr>
              <w:adjustRightInd w:val="0"/>
              <w:snapToGrid w:val="0"/>
              <w:jc w:val="center"/>
              <w:rPr>
                <w:rFonts w:hint="eastAsia"/>
                <w:color w:val="000000" w:themeColor="text1"/>
                <w14:textFill>
                  <w14:solidFill>
                    <w14:schemeClr w14:val="tx1"/>
                  </w14:solidFill>
                </w14:textFill>
              </w:rPr>
            </w:pPr>
          </w:p>
        </w:tc>
        <w:tc>
          <w:tcPr>
            <w:tcW w:w="2912" w:type="dxa"/>
            <w:vAlign w:val="center"/>
          </w:tcPr>
          <w:p w14:paraId="2AA79DDE">
            <w:pPr>
              <w:adjustRightInd w:val="0"/>
              <w:snapToGrid w:val="0"/>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0.3</w:t>
            </w:r>
            <w:r>
              <w:rPr>
                <w:color w:val="000000" w:themeColor="text1"/>
                <w14:textFill>
                  <w14:solidFill>
                    <w14:schemeClr w14:val="tx1"/>
                  </w14:solidFill>
                </w14:textFill>
              </w:rPr>
              <w:t>%苦参</w:t>
            </w:r>
            <w:r>
              <w:rPr>
                <w:rFonts w:hint="eastAsia"/>
                <w:color w:val="000000" w:themeColor="text1"/>
                <w14:textFill>
                  <w14:solidFill>
                    <w14:schemeClr w14:val="tx1"/>
                  </w14:solidFill>
                </w14:textFill>
              </w:rPr>
              <w:t>碱水剂</w:t>
            </w:r>
          </w:p>
        </w:tc>
        <w:tc>
          <w:tcPr>
            <w:tcW w:w="1719" w:type="dxa"/>
            <w:vAlign w:val="center"/>
          </w:tcPr>
          <w:p w14:paraId="7B6007A4">
            <w:pPr>
              <w:adjustRightInd w:val="0"/>
              <w:snapToGrid w:val="0"/>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600-800倍液</w:t>
            </w:r>
          </w:p>
        </w:tc>
        <w:tc>
          <w:tcPr>
            <w:tcW w:w="1068" w:type="dxa"/>
            <w:vAlign w:val="center"/>
          </w:tcPr>
          <w:p w14:paraId="2E120F0C">
            <w:pPr>
              <w:adjustRightInd w:val="0"/>
              <w:snapToGrid w:val="0"/>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喷雾</w:t>
            </w:r>
          </w:p>
        </w:tc>
        <w:tc>
          <w:tcPr>
            <w:tcW w:w="1058" w:type="dxa"/>
            <w:vAlign w:val="center"/>
          </w:tcPr>
          <w:p w14:paraId="05D80B91">
            <w:pPr>
              <w:adjustRightInd w:val="0"/>
              <w:snapToGrid w:val="0"/>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w:t>
            </w:r>
          </w:p>
        </w:tc>
      </w:tr>
      <w:tr w14:paraId="0DE54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38" w:type="dxa"/>
            <w:vMerge w:val="continue"/>
            <w:vAlign w:val="center"/>
          </w:tcPr>
          <w:p w14:paraId="5D18B4D1">
            <w:pPr>
              <w:adjustRightInd w:val="0"/>
              <w:snapToGrid w:val="0"/>
              <w:jc w:val="center"/>
              <w:rPr>
                <w:rFonts w:hint="eastAsia"/>
                <w:color w:val="000000" w:themeColor="text1"/>
                <w14:textFill>
                  <w14:solidFill>
                    <w14:schemeClr w14:val="tx1"/>
                  </w14:solidFill>
                </w14:textFill>
              </w:rPr>
            </w:pPr>
          </w:p>
        </w:tc>
        <w:tc>
          <w:tcPr>
            <w:tcW w:w="1497" w:type="dxa"/>
            <w:vMerge w:val="continue"/>
            <w:vAlign w:val="center"/>
          </w:tcPr>
          <w:p w14:paraId="17DD8CB2">
            <w:pPr>
              <w:adjustRightInd w:val="0"/>
              <w:snapToGrid w:val="0"/>
              <w:jc w:val="center"/>
              <w:rPr>
                <w:rFonts w:hint="eastAsia"/>
                <w:color w:val="000000" w:themeColor="text1"/>
                <w14:textFill>
                  <w14:solidFill>
                    <w14:schemeClr w14:val="tx1"/>
                  </w14:solidFill>
                </w14:textFill>
              </w:rPr>
            </w:pPr>
          </w:p>
        </w:tc>
        <w:tc>
          <w:tcPr>
            <w:tcW w:w="2912" w:type="dxa"/>
            <w:vAlign w:val="center"/>
          </w:tcPr>
          <w:p w14:paraId="296B492E">
            <w:pPr>
              <w:adjustRightInd w:val="0"/>
              <w:snapToGrid w:val="0"/>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38</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唑醚·啶酰菌水分散粒剂</w:t>
            </w:r>
          </w:p>
        </w:tc>
        <w:tc>
          <w:tcPr>
            <w:tcW w:w="1719" w:type="dxa"/>
            <w:vAlign w:val="center"/>
          </w:tcPr>
          <w:p w14:paraId="13E32C40">
            <w:pPr>
              <w:adjustRightInd w:val="0"/>
              <w:snapToGrid w:val="0"/>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1000-1500倍液</w:t>
            </w:r>
          </w:p>
        </w:tc>
        <w:tc>
          <w:tcPr>
            <w:tcW w:w="1068" w:type="dxa"/>
            <w:vAlign w:val="center"/>
          </w:tcPr>
          <w:p w14:paraId="0D25521E">
            <w:pPr>
              <w:adjustRightInd w:val="0"/>
              <w:snapToGrid w:val="0"/>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喷雾</w:t>
            </w:r>
          </w:p>
        </w:tc>
        <w:tc>
          <w:tcPr>
            <w:tcW w:w="1058" w:type="dxa"/>
            <w:vAlign w:val="center"/>
          </w:tcPr>
          <w:p w14:paraId="6BCC0B95">
            <w:pPr>
              <w:adjustRightInd w:val="0"/>
              <w:snapToGrid w:val="0"/>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7</w:t>
            </w:r>
          </w:p>
        </w:tc>
      </w:tr>
      <w:tr w14:paraId="03B0C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38" w:type="dxa"/>
            <w:vMerge w:val="restart"/>
            <w:vAlign w:val="center"/>
          </w:tcPr>
          <w:p w14:paraId="2FC68C21">
            <w:pPr>
              <w:adjustRightInd w:val="0"/>
              <w:snapToGrid w:val="0"/>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霜霉病</w:t>
            </w:r>
          </w:p>
        </w:tc>
        <w:tc>
          <w:tcPr>
            <w:tcW w:w="1497" w:type="dxa"/>
            <w:vAlign w:val="center"/>
          </w:tcPr>
          <w:p w14:paraId="6EFAA281">
            <w:pPr>
              <w:adjustRightInd w:val="0"/>
              <w:snapToGrid w:val="0"/>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发病初期</w:t>
            </w:r>
          </w:p>
        </w:tc>
        <w:tc>
          <w:tcPr>
            <w:tcW w:w="2912" w:type="dxa"/>
            <w:vAlign w:val="center"/>
          </w:tcPr>
          <w:p w14:paraId="20392ADF">
            <w:pPr>
              <w:adjustRightInd w:val="0"/>
              <w:snapToGrid w:val="0"/>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30</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醚菌酯悬浮剂</w:t>
            </w:r>
          </w:p>
        </w:tc>
        <w:tc>
          <w:tcPr>
            <w:tcW w:w="1719" w:type="dxa"/>
            <w:vAlign w:val="center"/>
          </w:tcPr>
          <w:p w14:paraId="4C2E782A">
            <w:pPr>
              <w:adjustRightInd w:val="0"/>
              <w:snapToGrid w:val="0"/>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2200-3200倍液</w:t>
            </w:r>
          </w:p>
        </w:tc>
        <w:tc>
          <w:tcPr>
            <w:tcW w:w="1068" w:type="dxa"/>
            <w:vAlign w:val="center"/>
          </w:tcPr>
          <w:p w14:paraId="2DC4C437">
            <w:pPr>
              <w:adjustRightInd w:val="0"/>
              <w:snapToGrid w:val="0"/>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喷雾</w:t>
            </w:r>
          </w:p>
        </w:tc>
        <w:tc>
          <w:tcPr>
            <w:tcW w:w="1058" w:type="dxa"/>
            <w:vAlign w:val="center"/>
          </w:tcPr>
          <w:p w14:paraId="70A84D77">
            <w:pPr>
              <w:adjustRightInd w:val="0"/>
              <w:snapToGrid w:val="0"/>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7</w:t>
            </w:r>
          </w:p>
        </w:tc>
      </w:tr>
      <w:tr w14:paraId="29D96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38" w:type="dxa"/>
            <w:vMerge w:val="continue"/>
            <w:vAlign w:val="center"/>
          </w:tcPr>
          <w:p w14:paraId="2FAD385A">
            <w:pPr>
              <w:adjustRightInd w:val="0"/>
              <w:snapToGrid w:val="0"/>
              <w:jc w:val="center"/>
              <w:rPr>
                <w:rFonts w:hint="eastAsia"/>
                <w:color w:val="000000" w:themeColor="text1"/>
                <w14:textFill>
                  <w14:solidFill>
                    <w14:schemeClr w14:val="tx1"/>
                  </w14:solidFill>
                </w14:textFill>
              </w:rPr>
            </w:pPr>
          </w:p>
        </w:tc>
        <w:tc>
          <w:tcPr>
            <w:tcW w:w="1497" w:type="dxa"/>
            <w:vAlign w:val="center"/>
          </w:tcPr>
          <w:p w14:paraId="2357AB2A">
            <w:pPr>
              <w:adjustRightInd w:val="0"/>
              <w:snapToGrid w:val="0"/>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发病前或初期</w:t>
            </w:r>
          </w:p>
        </w:tc>
        <w:tc>
          <w:tcPr>
            <w:tcW w:w="2912" w:type="dxa"/>
            <w:vAlign w:val="center"/>
          </w:tcPr>
          <w:p w14:paraId="754E3542">
            <w:pPr>
              <w:adjustRightInd w:val="0"/>
              <w:snapToGrid w:val="0"/>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50%克菌丹可湿性粉剂</w:t>
            </w:r>
          </w:p>
        </w:tc>
        <w:tc>
          <w:tcPr>
            <w:tcW w:w="1719" w:type="dxa"/>
            <w:vAlign w:val="center"/>
          </w:tcPr>
          <w:p w14:paraId="545E1E5C">
            <w:pPr>
              <w:adjustRightInd w:val="0"/>
              <w:snapToGrid w:val="0"/>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400-600倍液</w:t>
            </w:r>
          </w:p>
        </w:tc>
        <w:tc>
          <w:tcPr>
            <w:tcW w:w="1068" w:type="dxa"/>
            <w:vAlign w:val="center"/>
          </w:tcPr>
          <w:p w14:paraId="39BF9327">
            <w:pPr>
              <w:adjustRightInd w:val="0"/>
              <w:snapToGrid w:val="0"/>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喷雾</w:t>
            </w:r>
          </w:p>
        </w:tc>
        <w:tc>
          <w:tcPr>
            <w:tcW w:w="1058" w:type="dxa"/>
            <w:vAlign w:val="center"/>
          </w:tcPr>
          <w:p w14:paraId="057D0FF2">
            <w:pPr>
              <w:adjustRightInd w:val="0"/>
              <w:snapToGrid w:val="0"/>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7</w:t>
            </w:r>
          </w:p>
        </w:tc>
      </w:tr>
      <w:tr w14:paraId="5A9A9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38" w:type="dxa"/>
            <w:vMerge w:val="continue"/>
            <w:vAlign w:val="center"/>
          </w:tcPr>
          <w:p w14:paraId="13B99CAD">
            <w:pPr>
              <w:adjustRightInd w:val="0"/>
              <w:snapToGrid w:val="0"/>
              <w:jc w:val="center"/>
              <w:rPr>
                <w:rFonts w:hint="eastAsia"/>
                <w:color w:val="000000" w:themeColor="text1"/>
                <w14:textFill>
                  <w14:solidFill>
                    <w14:schemeClr w14:val="tx1"/>
                  </w14:solidFill>
                </w14:textFill>
              </w:rPr>
            </w:pPr>
          </w:p>
        </w:tc>
        <w:tc>
          <w:tcPr>
            <w:tcW w:w="1497" w:type="dxa"/>
            <w:vAlign w:val="center"/>
          </w:tcPr>
          <w:p w14:paraId="52BC601B">
            <w:pPr>
              <w:adjustRightInd w:val="0"/>
              <w:snapToGrid w:val="0"/>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发病前或初期</w:t>
            </w:r>
          </w:p>
        </w:tc>
        <w:tc>
          <w:tcPr>
            <w:tcW w:w="2912" w:type="dxa"/>
            <w:vAlign w:val="center"/>
          </w:tcPr>
          <w:p w14:paraId="1FBFBBAF">
            <w:pPr>
              <w:adjustRightInd w:val="0"/>
              <w:snapToGrid w:val="0"/>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80％波尔多液可湿性粉剂</w:t>
            </w:r>
          </w:p>
        </w:tc>
        <w:tc>
          <w:tcPr>
            <w:tcW w:w="1719" w:type="dxa"/>
            <w:vAlign w:val="center"/>
          </w:tcPr>
          <w:p w14:paraId="198FF42E">
            <w:pPr>
              <w:adjustRightInd w:val="0"/>
              <w:snapToGrid w:val="0"/>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300-400倍液</w:t>
            </w:r>
          </w:p>
        </w:tc>
        <w:tc>
          <w:tcPr>
            <w:tcW w:w="1068" w:type="dxa"/>
            <w:vAlign w:val="center"/>
          </w:tcPr>
          <w:p w14:paraId="429746C0">
            <w:pPr>
              <w:adjustRightInd w:val="0"/>
              <w:snapToGrid w:val="0"/>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喷雾</w:t>
            </w:r>
          </w:p>
        </w:tc>
        <w:tc>
          <w:tcPr>
            <w:tcW w:w="1058" w:type="dxa"/>
            <w:vAlign w:val="center"/>
          </w:tcPr>
          <w:p w14:paraId="40821CE0">
            <w:pPr>
              <w:adjustRightInd w:val="0"/>
              <w:snapToGrid w:val="0"/>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w:t>
            </w:r>
          </w:p>
        </w:tc>
      </w:tr>
      <w:tr w14:paraId="27D2D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38" w:type="dxa"/>
            <w:vMerge w:val="restart"/>
            <w:vAlign w:val="center"/>
          </w:tcPr>
          <w:p w14:paraId="76BF1520">
            <w:pPr>
              <w:adjustRightInd w:val="0"/>
              <w:snapToGrid w:val="0"/>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炭疽病</w:t>
            </w:r>
          </w:p>
        </w:tc>
        <w:tc>
          <w:tcPr>
            <w:tcW w:w="1497" w:type="dxa"/>
            <w:vAlign w:val="center"/>
          </w:tcPr>
          <w:p w14:paraId="1B9A60EB">
            <w:pPr>
              <w:adjustRightInd w:val="0"/>
              <w:snapToGrid w:val="0"/>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发病前或初期</w:t>
            </w:r>
          </w:p>
        </w:tc>
        <w:tc>
          <w:tcPr>
            <w:tcW w:w="2912" w:type="dxa"/>
            <w:vAlign w:val="center"/>
          </w:tcPr>
          <w:p w14:paraId="0C84C741">
            <w:pPr>
              <w:adjustRightInd w:val="0"/>
              <w:snapToGrid w:val="0"/>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20%抑霉唑水乳剂</w:t>
            </w:r>
          </w:p>
        </w:tc>
        <w:tc>
          <w:tcPr>
            <w:tcW w:w="1719" w:type="dxa"/>
            <w:vAlign w:val="center"/>
          </w:tcPr>
          <w:p w14:paraId="5CDCBEB6">
            <w:pPr>
              <w:adjustRightInd w:val="0"/>
              <w:snapToGrid w:val="0"/>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800-1200倍液</w:t>
            </w:r>
          </w:p>
        </w:tc>
        <w:tc>
          <w:tcPr>
            <w:tcW w:w="1068" w:type="dxa"/>
            <w:vAlign w:val="center"/>
          </w:tcPr>
          <w:p w14:paraId="1B8D2B81">
            <w:pPr>
              <w:adjustRightInd w:val="0"/>
              <w:snapToGrid w:val="0"/>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喷雾</w:t>
            </w:r>
          </w:p>
        </w:tc>
        <w:tc>
          <w:tcPr>
            <w:tcW w:w="1058" w:type="dxa"/>
            <w:vAlign w:val="center"/>
          </w:tcPr>
          <w:p w14:paraId="11CAB01C">
            <w:pPr>
              <w:adjustRightInd w:val="0"/>
              <w:snapToGrid w:val="0"/>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w:t>
            </w:r>
          </w:p>
        </w:tc>
      </w:tr>
      <w:tr w14:paraId="62A9D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38" w:type="dxa"/>
            <w:vMerge w:val="continue"/>
            <w:vAlign w:val="center"/>
          </w:tcPr>
          <w:p w14:paraId="5E949063">
            <w:pPr>
              <w:adjustRightInd w:val="0"/>
              <w:snapToGrid w:val="0"/>
              <w:jc w:val="center"/>
              <w:rPr>
                <w:rFonts w:hint="eastAsia"/>
                <w:color w:val="000000" w:themeColor="text1"/>
                <w14:textFill>
                  <w14:solidFill>
                    <w14:schemeClr w14:val="tx1"/>
                  </w14:solidFill>
                </w14:textFill>
              </w:rPr>
            </w:pPr>
          </w:p>
        </w:tc>
        <w:tc>
          <w:tcPr>
            <w:tcW w:w="1497" w:type="dxa"/>
            <w:vAlign w:val="center"/>
          </w:tcPr>
          <w:p w14:paraId="04742007">
            <w:pPr>
              <w:adjustRightInd w:val="0"/>
              <w:snapToGrid w:val="0"/>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发病初期</w:t>
            </w:r>
          </w:p>
        </w:tc>
        <w:tc>
          <w:tcPr>
            <w:tcW w:w="2912" w:type="dxa"/>
            <w:vAlign w:val="center"/>
          </w:tcPr>
          <w:p w14:paraId="75FD5BE5">
            <w:pPr>
              <w:adjustRightInd w:val="0"/>
              <w:snapToGrid w:val="0"/>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40％腈菌唑可湿性粉剂</w:t>
            </w:r>
          </w:p>
        </w:tc>
        <w:tc>
          <w:tcPr>
            <w:tcW w:w="1719" w:type="dxa"/>
            <w:vAlign w:val="center"/>
          </w:tcPr>
          <w:p w14:paraId="13BB589B">
            <w:pPr>
              <w:adjustRightInd w:val="0"/>
              <w:snapToGrid w:val="0"/>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4000-6000倍液</w:t>
            </w:r>
          </w:p>
        </w:tc>
        <w:tc>
          <w:tcPr>
            <w:tcW w:w="1068" w:type="dxa"/>
            <w:vAlign w:val="center"/>
          </w:tcPr>
          <w:p w14:paraId="1542E1E4">
            <w:pPr>
              <w:adjustRightInd w:val="0"/>
              <w:snapToGrid w:val="0"/>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喷雾</w:t>
            </w:r>
          </w:p>
        </w:tc>
        <w:tc>
          <w:tcPr>
            <w:tcW w:w="1058" w:type="dxa"/>
            <w:vAlign w:val="center"/>
          </w:tcPr>
          <w:p w14:paraId="41E0A86B">
            <w:pPr>
              <w:adjustRightInd w:val="0"/>
              <w:snapToGrid w:val="0"/>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21</w:t>
            </w:r>
          </w:p>
        </w:tc>
      </w:tr>
      <w:tr w14:paraId="76F55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38" w:type="dxa"/>
            <w:vAlign w:val="center"/>
          </w:tcPr>
          <w:p w14:paraId="292B75FC">
            <w:pPr>
              <w:adjustRightInd w:val="0"/>
              <w:snapToGrid w:val="0"/>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介壳虫</w:t>
            </w:r>
          </w:p>
        </w:tc>
        <w:tc>
          <w:tcPr>
            <w:tcW w:w="1497" w:type="dxa"/>
            <w:vAlign w:val="center"/>
          </w:tcPr>
          <w:p w14:paraId="035A079D">
            <w:pPr>
              <w:adjustRightInd w:val="0"/>
              <w:snapToGrid w:val="0"/>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发生期</w:t>
            </w:r>
          </w:p>
        </w:tc>
        <w:tc>
          <w:tcPr>
            <w:tcW w:w="2912" w:type="dxa"/>
            <w:vAlign w:val="center"/>
          </w:tcPr>
          <w:p w14:paraId="2FE2B4F4">
            <w:pPr>
              <w:adjustRightInd w:val="0"/>
              <w:snapToGrid w:val="0"/>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25%噻虫嗪水分散粒剂</w:t>
            </w:r>
          </w:p>
        </w:tc>
        <w:tc>
          <w:tcPr>
            <w:tcW w:w="1719" w:type="dxa"/>
            <w:vAlign w:val="center"/>
          </w:tcPr>
          <w:p w14:paraId="2744C0D8">
            <w:pPr>
              <w:adjustRightInd w:val="0"/>
              <w:snapToGrid w:val="0"/>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4000-5000倍液</w:t>
            </w:r>
          </w:p>
        </w:tc>
        <w:tc>
          <w:tcPr>
            <w:tcW w:w="1068" w:type="dxa"/>
            <w:vAlign w:val="center"/>
          </w:tcPr>
          <w:p w14:paraId="13A6EDE5">
            <w:pPr>
              <w:adjustRightInd w:val="0"/>
              <w:snapToGrid w:val="0"/>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喷雾</w:t>
            </w:r>
          </w:p>
        </w:tc>
        <w:tc>
          <w:tcPr>
            <w:tcW w:w="1058" w:type="dxa"/>
            <w:vAlign w:val="center"/>
          </w:tcPr>
          <w:p w14:paraId="0601325A">
            <w:pPr>
              <w:adjustRightInd w:val="0"/>
              <w:snapToGrid w:val="0"/>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7</w:t>
            </w:r>
          </w:p>
        </w:tc>
      </w:tr>
      <w:tr w14:paraId="5997D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92" w:type="dxa"/>
            <w:gridSpan w:val="6"/>
            <w:vAlign w:val="center"/>
          </w:tcPr>
          <w:p w14:paraId="3D1B40F6">
            <w:pPr>
              <w:adjustRightInd w:val="0"/>
              <w:snapToGrid w:val="0"/>
              <w:rPr>
                <w:rFonts w:hint="eastAsia"/>
                <w:color w:val="000000" w:themeColor="text1"/>
                <w14:textFill>
                  <w14:solidFill>
                    <w14:schemeClr w14:val="tx1"/>
                  </w14:solidFill>
                </w14:textFill>
              </w:rPr>
            </w:pPr>
            <w:r>
              <w:rPr>
                <w:rFonts w:hint="eastAsia" w:ascii="宋体" w:hAnsi="宋体" w:cs="宋体"/>
              </w:rPr>
              <w:t>注：农药使用应以最新版本NY/T 393的规定为准。</w:t>
            </w:r>
          </w:p>
        </w:tc>
      </w:tr>
      <w:bookmarkEnd w:id="14"/>
    </w:tbl>
    <w:p w14:paraId="3BD449B2">
      <w:pPr>
        <w:spacing w:line="360" w:lineRule="auto"/>
        <w:rPr>
          <w:rFonts w:hint="eastAsia"/>
        </w:rPr>
      </w:pPr>
    </w:p>
    <w:p w14:paraId="6F6D7252">
      <w:pPr>
        <w:spacing w:line="360" w:lineRule="auto"/>
        <w:rPr>
          <w:rFonts w:hint="eastAsia"/>
        </w:rPr>
      </w:pPr>
    </w:p>
    <w:p w14:paraId="54C79E43">
      <w:pPr>
        <w:spacing w:line="360" w:lineRule="auto"/>
        <w:rPr>
          <w:rFonts w:hint="eastAsia"/>
        </w:rPr>
      </w:pPr>
    </w:p>
    <w:p w14:paraId="090F5CEA">
      <w:pPr>
        <w:spacing w:line="360" w:lineRule="auto"/>
        <w:rPr>
          <w:rFonts w:hint="eastAsia"/>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201266">
    <w:pPr>
      <w:pStyle w:val="6"/>
      <w:jc w:val="right"/>
      <w:rPr>
        <w:rFonts w:hint="eastAsia" w:ascii="黑体" w:hAnsi="黑体" w:eastAsia="黑体"/>
        <w:sz w:val="21"/>
        <w:szCs w:val="21"/>
      </w:rPr>
    </w:pPr>
    <w:r>
      <w:rPr>
        <w:rFonts w:hint="eastAsia" w:ascii="黑体" w:hAnsi="黑体" w:eastAsia="黑体"/>
        <w:sz w:val="21"/>
        <w:szCs w:val="21"/>
      </w:rPr>
      <w:t>T/CGFAXXX-202X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676DE0"/>
    <w:multiLevelType w:val="multilevel"/>
    <w:tmpl w:val="4F676DE0"/>
    <w:lvl w:ilvl="0" w:tentative="0">
      <w:start w:val="1"/>
      <w:numFmt w:val="decimal"/>
      <w:lvlText w:val="%1"/>
      <w:lvlJc w:val="left"/>
      <w:pPr>
        <w:ind w:left="420" w:hanging="420"/>
      </w:pPr>
      <w:rPr>
        <w:rFonts w:hint="eastAsia" w:eastAsia="黑体"/>
        <w:b w:val="0"/>
        <w:i w:val="0"/>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ECC"/>
    <w:rsid w:val="000117DC"/>
    <w:rsid w:val="00035E96"/>
    <w:rsid w:val="000367E1"/>
    <w:rsid w:val="00037BE9"/>
    <w:rsid w:val="0004307B"/>
    <w:rsid w:val="0004467B"/>
    <w:rsid w:val="000453DA"/>
    <w:rsid w:val="00072037"/>
    <w:rsid w:val="0007302C"/>
    <w:rsid w:val="00081B2A"/>
    <w:rsid w:val="0008484B"/>
    <w:rsid w:val="00091057"/>
    <w:rsid w:val="00097D87"/>
    <w:rsid w:val="000A5757"/>
    <w:rsid w:val="000A62C0"/>
    <w:rsid w:val="000B595A"/>
    <w:rsid w:val="000F21BA"/>
    <w:rsid w:val="000F4D26"/>
    <w:rsid w:val="00100133"/>
    <w:rsid w:val="0011424D"/>
    <w:rsid w:val="00126F7C"/>
    <w:rsid w:val="00130537"/>
    <w:rsid w:val="00145262"/>
    <w:rsid w:val="001732AD"/>
    <w:rsid w:val="0017397F"/>
    <w:rsid w:val="00195F3F"/>
    <w:rsid w:val="001964A2"/>
    <w:rsid w:val="001D0747"/>
    <w:rsid w:val="001E2800"/>
    <w:rsid w:val="001E436F"/>
    <w:rsid w:val="001E4504"/>
    <w:rsid w:val="001E49BF"/>
    <w:rsid w:val="001E7B14"/>
    <w:rsid w:val="001F5435"/>
    <w:rsid w:val="002249CE"/>
    <w:rsid w:val="00277412"/>
    <w:rsid w:val="00277466"/>
    <w:rsid w:val="00284188"/>
    <w:rsid w:val="002A622C"/>
    <w:rsid w:val="002C53AB"/>
    <w:rsid w:val="002D727E"/>
    <w:rsid w:val="002F629C"/>
    <w:rsid w:val="003009D2"/>
    <w:rsid w:val="003129B7"/>
    <w:rsid w:val="00314404"/>
    <w:rsid w:val="0031638D"/>
    <w:rsid w:val="003410DC"/>
    <w:rsid w:val="00362AD7"/>
    <w:rsid w:val="00376B77"/>
    <w:rsid w:val="003818FA"/>
    <w:rsid w:val="00390FBC"/>
    <w:rsid w:val="0039398E"/>
    <w:rsid w:val="003A7002"/>
    <w:rsid w:val="003C385A"/>
    <w:rsid w:val="003C5DFC"/>
    <w:rsid w:val="003D2C7F"/>
    <w:rsid w:val="003D41C2"/>
    <w:rsid w:val="004200CF"/>
    <w:rsid w:val="004315E1"/>
    <w:rsid w:val="004324CB"/>
    <w:rsid w:val="0044087E"/>
    <w:rsid w:val="004421B8"/>
    <w:rsid w:val="0046420D"/>
    <w:rsid w:val="004718B0"/>
    <w:rsid w:val="0047564E"/>
    <w:rsid w:val="0048271D"/>
    <w:rsid w:val="00490A26"/>
    <w:rsid w:val="004A35A7"/>
    <w:rsid w:val="004B62CA"/>
    <w:rsid w:val="004C76BF"/>
    <w:rsid w:val="004E3BC5"/>
    <w:rsid w:val="00510B60"/>
    <w:rsid w:val="0051165A"/>
    <w:rsid w:val="00514FFB"/>
    <w:rsid w:val="0051595E"/>
    <w:rsid w:val="0053627E"/>
    <w:rsid w:val="005377B1"/>
    <w:rsid w:val="005436A0"/>
    <w:rsid w:val="00546064"/>
    <w:rsid w:val="0055096C"/>
    <w:rsid w:val="00557844"/>
    <w:rsid w:val="005B5378"/>
    <w:rsid w:val="005C5D41"/>
    <w:rsid w:val="005E7811"/>
    <w:rsid w:val="005F0435"/>
    <w:rsid w:val="005F1E2F"/>
    <w:rsid w:val="006020E6"/>
    <w:rsid w:val="0060704D"/>
    <w:rsid w:val="00620027"/>
    <w:rsid w:val="00624610"/>
    <w:rsid w:val="00651CC2"/>
    <w:rsid w:val="00686EED"/>
    <w:rsid w:val="006B1F7E"/>
    <w:rsid w:val="006B70F4"/>
    <w:rsid w:val="006D5C49"/>
    <w:rsid w:val="00721A6B"/>
    <w:rsid w:val="00757232"/>
    <w:rsid w:val="0075774D"/>
    <w:rsid w:val="0077010A"/>
    <w:rsid w:val="007728FA"/>
    <w:rsid w:val="0077411F"/>
    <w:rsid w:val="0077564A"/>
    <w:rsid w:val="007A3518"/>
    <w:rsid w:val="007A6D3E"/>
    <w:rsid w:val="007C2A6F"/>
    <w:rsid w:val="007F08EB"/>
    <w:rsid w:val="007F2BC4"/>
    <w:rsid w:val="008140A0"/>
    <w:rsid w:val="00867D3C"/>
    <w:rsid w:val="008774F6"/>
    <w:rsid w:val="008A06B7"/>
    <w:rsid w:val="008A222F"/>
    <w:rsid w:val="008F25B8"/>
    <w:rsid w:val="009025D3"/>
    <w:rsid w:val="00904A22"/>
    <w:rsid w:val="0091489B"/>
    <w:rsid w:val="009333DD"/>
    <w:rsid w:val="00952BA1"/>
    <w:rsid w:val="00964416"/>
    <w:rsid w:val="00976753"/>
    <w:rsid w:val="00992832"/>
    <w:rsid w:val="009951B0"/>
    <w:rsid w:val="00996860"/>
    <w:rsid w:val="009A5E64"/>
    <w:rsid w:val="009C7869"/>
    <w:rsid w:val="009D4B3B"/>
    <w:rsid w:val="009F2712"/>
    <w:rsid w:val="00A015E0"/>
    <w:rsid w:val="00A163E7"/>
    <w:rsid w:val="00A168B7"/>
    <w:rsid w:val="00A2522D"/>
    <w:rsid w:val="00A26F00"/>
    <w:rsid w:val="00A40717"/>
    <w:rsid w:val="00A4091E"/>
    <w:rsid w:val="00A43C99"/>
    <w:rsid w:val="00A57868"/>
    <w:rsid w:val="00A7355D"/>
    <w:rsid w:val="00A82803"/>
    <w:rsid w:val="00A978F7"/>
    <w:rsid w:val="00AC0A43"/>
    <w:rsid w:val="00AC4068"/>
    <w:rsid w:val="00AD33F8"/>
    <w:rsid w:val="00AE1182"/>
    <w:rsid w:val="00B01F70"/>
    <w:rsid w:val="00B02880"/>
    <w:rsid w:val="00B16B13"/>
    <w:rsid w:val="00B23344"/>
    <w:rsid w:val="00B312E9"/>
    <w:rsid w:val="00B35CBB"/>
    <w:rsid w:val="00B415E8"/>
    <w:rsid w:val="00B4185B"/>
    <w:rsid w:val="00B4292B"/>
    <w:rsid w:val="00B64532"/>
    <w:rsid w:val="00B70BDC"/>
    <w:rsid w:val="00B76B8B"/>
    <w:rsid w:val="00BA4D51"/>
    <w:rsid w:val="00BE04B3"/>
    <w:rsid w:val="00BE21D9"/>
    <w:rsid w:val="00BE35F0"/>
    <w:rsid w:val="00BE55C7"/>
    <w:rsid w:val="00C06815"/>
    <w:rsid w:val="00C1303C"/>
    <w:rsid w:val="00C22D29"/>
    <w:rsid w:val="00C32C33"/>
    <w:rsid w:val="00C723C8"/>
    <w:rsid w:val="00C73EA2"/>
    <w:rsid w:val="00C75AA2"/>
    <w:rsid w:val="00C75D47"/>
    <w:rsid w:val="00C83EB4"/>
    <w:rsid w:val="00C85EF8"/>
    <w:rsid w:val="00CD0F07"/>
    <w:rsid w:val="00CD23D0"/>
    <w:rsid w:val="00CD3908"/>
    <w:rsid w:val="00CF0410"/>
    <w:rsid w:val="00D06339"/>
    <w:rsid w:val="00D20B0F"/>
    <w:rsid w:val="00D236B9"/>
    <w:rsid w:val="00D401ED"/>
    <w:rsid w:val="00D80868"/>
    <w:rsid w:val="00D85C24"/>
    <w:rsid w:val="00DB0819"/>
    <w:rsid w:val="00DC1E37"/>
    <w:rsid w:val="00DC25C0"/>
    <w:rsid w:val="00DC63D2"/>
    <w:rsid w:val="00DD12A7"/>
    <w:rsid w:val="00DE01B4"/>
    <w:rsid w:val="00DE4CA2"/>
    <w:rsid w:val="00DE60B9"/>
    <w:rsid w:val="00E11F86"/>
    <w:rsid w:val="00E1627C"/>
    <w:rsid w:val="00E46C72"/>
    <w:rsid w:val="00E52F76"/>
    <w:rsid w:val="00E64F0A"/>
    <w:rsid w:val="00E746BC"/>
    <w:rsid w:val="00E82C7A"/>
    <w:rsid w:val="00E9117F"/>
    <w:rsid w:val="00E9181A"/>
    <w:rsid w:val="00E963D8"/>
    <w:rsid w:val="00EA4799"/>
    <w:rsid w:val="00EB5FE1"/>
    <w:rsid w:val="00F25705"/>
    <w:rsid w:val="00F5168A"/>
    <w:rsid w:val="00FD6E4A"/>
    <w:rsid w:val="00FE6ECC"/>
    <w:rsid w:val="01541EA9"/>
    <w:rsid w:val="01E55D08"/>
    <w:rsid w:val="01F176F8"/>
    <w:rsid w:val="022E44A8"/>
    <w:rsid w:val="0313173F"/>
    <w:rsid w:val="035B50E5"/>
    <w:rsid w:val="0371289F"/>
    <w:rsid w:val="03CF1049"/>
    <w:rsid w:val="03F31506"/>
    <w:rsid w:val="053718C6"/>
    <w:rsid w:val="055C2BCB"/>
    <w:rsid w:val="05FD1395"/>
    <w:rsid w:val="06AA3194"/>
    <w:rsid w:val="06D5777B"/>
    <w:rsid w:val="07807554"/>
    <w:rsid w:val="0790350F"/>
    <w:rsid w:val="07C733D5"/>
    <w:rsid w:val="07E850FA"/>
    <w:rsid w:val="084542FA"/>
    <w:rsid w:val="088A61B1"/>
    <w:rsid w:val="08BE1A3E"/>
    <w:rsid w:val="08E27D9B"/>
    <w:rsid w:val="0943525E"/>
    <w:rsid w:val="095C5D9F"/>
    <w:rsid w:val="09B21762"/>
    <w:rsid w:val="0B9E444D"/>
    <w:rsid w:val="0CC2416B"/>
    <w:rsid w:val="0D562B05"/>
    <w:rsid w:val="0D645222"/>
    <w:rsid w:val="0E2F441C"/>
    <w:rsid w:val="0E8813E4"/>
    <w:rsid w:val="0EFD592E"/>
    <w:rsid w:val="0F44355D"/>
    <w:rsid w:val="0F91BC63"/>
    <w:rsid w:val="11561326"/>
    <w:rsid w:val="11AB78C4"/>
    <w:rsid w:val="12C549B5"/>
    <w:rsid w:val="12CA5B28"/>
    <w:rsid w:val="13117BFA"/>
    <w:rsid w:val="14DB226E"/>
    <w:rsid w:val="1562473D"/>
    <w:rsid w:val="15787ABD"/>
    <w:rsid w:val="158346B4"/>
    <w:rsid w:val="16695657"/>
    <w:rsid w:val="175C6F6A"/>
    <w:rsid w:val="17604CAC"/>
    <w:rsid w:val="176F3141"/>
    <w:rsid w:val="17966920"/>
    <w:rsid w:val="17B86896"/>
    <w:rsid w:val="183B3024"/>
    <w:rsid w:val="18846779"/>
    <w:rsid w:val="192B4E46"/>
    <w:rsid w:val="1A217918"/>
    <w:rsid w:val="1AE654C9"/>
    <w:rsid w:val="1B972C67"/>
    <w:rsid w:val="1C9B0535"/>
    <w:rsid w:val="1D6628F1"/>
    <w:rsid w:val="1D6F0FC8"/>
    <w:rsid w:val="1DD43CFE"/>
    <w:rsid w:val="1DFF6021"/>
    <w:rsid w:val="1E0F11DA"/>
    <w:rsid w:val="1E672DC4"/>
    <w:rsid w:val="1E8A6AB3"/>
    <w:rsid w:val="1EB27D85"/>
    <w:rsid w:val="1EF81C6E"/>
    <w:rsid w:val="1F422EEA"/>
    <w:rsid w:val="20621A95"/>
    <w:rsid w:val="210B5C89"/>
    <w:rsid w:val="212C5BFF"/>
    <w:rsid w:val="2294546A"/>
    <w:rsid w:val="22DB5B2F"/>
    <w:rsid w:val="23FE3883"/>
    <w:rsid w:val="24A60E07"/>
    <w:rsid w:val="24CA7C09"/>
    <w:rsid w:val="24ED56A6"/>
    <w:rsid w:val="2533755C"/>
    <w:rsid w:val="254E25E8"/>
    <w:rsid w:val="25CF779D"/>
    <w:rsid w:val="27BE7DDC"/>
    <w:rsid w:val="27DB3EDB"/>
    <w:rsid w:val="27DD40F7"/>
    <w:rsid w:val="28B301C6"/>
    <w:rsid w:val="28D2297D"/>
    <w:rsid w:val="29F16DF3"/>
    <w:rsid w:val="2A225DF1"/>
    <w:rsid w:val="2A27165A"/>
    <w:rsid w:val="2A4E788B"/>
    <w:rsid w:val="2A677CA8"/>
    <w:rsid w:val="2B2452CC"/>
    <w:rsid w:val="2B7E2E33"/>
    <w:rsid w:val="2B9B5E5B"/>
    <w:rsid w:val="2C8D7E9A"/>
    <w:rsid w:val="2D502C75"/>
    <w:rsid w:val="2D8FD1ED"/>
    <w:rsid w:val="2DFD2DFD"/>
    <w:rsid w:val="2E2C74D3"/>
    <w:rsid w:val="2E532A1D"/>
    <w:rsid w:val="2EEF0D25"/>
    <w:rsid w:val="2EF719BE"/>
    <w:rsid w:val="2F633134"/>
    <w:rsid w:val="304C1E4D"/>
    <w:rsid w:val="30C96FC7"/>
    <w:rsid w:val="30EB33E1"/>
    <w:rsid w:val="311566B0"/>
    <w:rsid w:val="312B7C81"/>
    <w:rsid w:val="31D23FEB"/>
    <w:rsid w:val="32156AF6"/>
    <w:rsid w:val="324B718F"/>
    <w:rsid w:val="33240E2C"/>
    <w:rsid w:val="334119DE"/>
    <w:rsid w:val="335A484E"/>
    <w:rsid w:val="336B1DC0"/>
    <w:rsid w:val="3421711A"/>
    <w:rsid w:val="3451291A"/>
    <w:rsid w:val="352769B2"/>
    <w:rsid w:val="35DC779C"/>
    <w:rsid w:val="360C2E3B"/>
    <w:rsid w:val="365B073B"/>
    <w:rsid w:val="3784633D"/>
    <w:rsid w:val="386B4E07"/>
    <w:rsid w:val="39537D75"/>
    <w:rsid w:val="39B12CEE"/>
    <w:rsid w:val="39BF365D"/>
    <w:rsid w:val="39C72511"/>
    <w:rsid w:val="3A647D60"/>
    <w:rsid w:val="3A917BE9"/>
    <w:rsid w:val="3AB7E2C6"/>
    <w:rsid w:val="3BC96A15"/>
    <w:rsid w:val="3C3C0F95"/>
    <w:rsid w:val="3CE05DC4"/>
    <w:rsid w:val="3D2D05BA"/>
    <w:rsid w:val="3E7A794B"/>
    <w:rsid w:val="3EBF80DD"/>
    <w:rsid w:val="3F9333A3"/>
    <w:rsid w:val="3FFBF1C3"/>
    <w:rsid w:val="3FFFFCCA"/>
    <w:rsid w:val="40D21EC7"/>
    <w:rsid w:val="41742F7F"/>
    <w:rsid w:val="41A81159"/>
    <w:rsid w:val="41BB50AC"/>
    <w:rsid w:val="42BD6B41"/>
    <w:rsid w:val="430420E0"/>
    <w:rsid w:val="43D877F5"/>
    <w:rsid w:val="442A7F8A"/>
    <w:rsid w:val="44615A3C"/>
    <w:rsid w:val="44AB4F09"/>
    <w:rsid w:val="45237196"/>
    <w:rsid w:val="45B002FD"/>
    <w:rsid w:val="45B918A8"/>
    <w:rsid w:val="462A6302"/>
    <w:rsid w:val="469F596F"/>
    <w:rsid w:val="48111527"/>
    <w:rsid w:val="48DD2D34"/>
    <w:rsid w:val="49DC7913"/>
    <w:rsid w:val="4A162E25"/>
    <w:rsid w:val="4ACE3700"/>
    <w:rsid w:val="4AE16747"/>
    <w:rsid w:val="4AFB026D"/>
    <w:rsid w:val="4B6776B0"/>
    <w:rsid w:val="4BCE772F"/>
    <w:rsid w:val="4BD72A88"/>
    <w:rsid w:val="4CE924D7"/>
    <w:rsid w:val="4D5325E2"/>
    <w:rsid w:val="4D6245D3"/>
    <w:rsid w:val="4DC25072"/>
    <w:rsid w:val="4E04568A"/>
    <w:rsid w:val="4E37780E"/>
    <w:rsid w:val="4E4268CB"/>
    <w:rsid w:val="4E5B34FC"/>
    <w:rsid w:val="4E870795"/>
    <w:rsid w:val="4FBD969D"/>
    <w:rsid w:val="50016325"/>
    <w:rsid w:val="500530CB"/>
    <w:rsid w:val="519C4558"/>
    <w:rsid w:val="51FD18BA"/>
    <w:rsid w:val="526F5117"/>
    <w:rsid w:val="529945F3"/>
    <w:rsid w:val="52F21F55"/>
    <w:rsid w:val="552A59D6"/>
    <w:rsid w:val="55747599"/>
    <w:rsid w:val="55D75F51"/>
    <w:rsid w:val="562ECC18"/>
    <w:rsid w:val="56E35054"/>
    <w:rsid w:val="57FFF15E"/>
    <w:rsid w:val="583D3C73"/>
    <w:rsid w:val="58583623"/>
    <w:rsid w:val="597B2CA5"/>
    <w:rsid w:val="5A7D2A4C"/>
    <w:rsid w:val="5ADA1C4D"/>
    <w:rsid w:val="5AFA409D"/>
    <w:rsid w:val="5C6C2D78"/>
    <w:rsid w:val="5D7C2B5D"/>
    <w:rsid w:val="5DE0757A"/>
    <w:rsid w:val="5DE973E1"/>
    <w:rsid w:val="5E45329D"/>
    <w:rsid w:val="5EC073AC"/>
    <w:rsid w:val="5F526256"/>
    <w:rsid w:val="5F88611B"/>
    <w:rsid w:val="5FB7C6B6"/>
    <w:rsid w:val="5FF56452"/>
    <w:rsid w:val="5FFB29DF"/>
    <w:rsid w:val="60713D6F"/>
    <w:rsid w:val="612B1454"/>
    <w:rsid w:val="61761FA3"/>
    <w:rsid w:val="61994610"/>
    <w:rsid w:val="61FE0F96"/>
    <w:rsid w:val="62893CFB"/>
    <w:rsid w:val="62EA49F7"/>
    <w:rsid w:val="632EEB50"/>
    <w:rsid w:val="65735178"/>
    <w:rsid w:val="66081D64"/>
    <w:rsid w:val="66EA76BB"/>
    <w:rsid w:val="66EC758D"/>
    <w:rsid w:val="678F04D5"/>
    <w:rsid w:val="67E265E5"/>
    <w:rsid w:val="68376930"/>
    <w:rsid w:val="69BB533F"/>
    <w:rsid w:val="69CE0BCF"/>
    <w:rsid w:val="6A813E93"/>
    <w:rsid w:val="6A9040D6"/>
    <w:rsid w:val="6B247141"/>
    <w:rsid w:val="6B2519DB"/>
    <w:rsid w:val="6BA0659B"/>
    <w:rsid w:val="6BF568E6"/>
    <w:rsid w:val="6C103720"/>
    <w:rsid w:val="6CD7476D"/>
    <w:rsid w:val="6D090170"/>
    <w:rsid w:val="6E080427"/>
    <w:rsid w:val="6E114777"/>
    <w:rsid w:val="6E95615F"/>
    <w:rsid w:val="6EA74844"/>
    <w:rsid w:val="6ECB7DD2"/>
    <w:rsid w:val="6F934555"/>
    <w:rsid w:val="6FEE1FCA"/>
    <w:rsid w:val="6FF84E79"/>
    <w:rsid w:val="6FFB46E7"/>
    <w:rsid w:val="6FFE73E3"/>
    <w:rsid w:val="702E0619"/>
    <w:rsid w:val="706978A3"/>
    <w:rsid w:val="70B34FC2"/>
    <w:rsid w:val="711F61B4"/>
    <w:rsid w:val="718B55F7"/>
    <w:rsid w:val="71FA51AB"/>
    <w:rsid w:val="72A526E9"/>
    <w:rsid w:val="732775A1"/>
    <w:rsid w:val="732D105C"/>
    <w:rsid w:val="735F5490"/>
    <w:rsid w:val="73CD1EF7"/>
    <w:rsid w:val="73CD639B"/>
    <w:rsid w:val="74E7348C"/>
    <w:rsid w:val="75330480"/>
    <w:rsid w:val="75B457A7"/>
    <w:rsid w:val="75B82733"/>
    <w:rsid w:val="75DBF1A8"/>
    <w:rsid w:val="75E91491"/>
    <w:rsid w:val="75FB070E"/>
    <w:rsid w:val="764A3036"/>
    <w:rsid w:val="768105F7"/>
    <w:rsid w:val="773329B9"/>
    <w:rsid w:val="77373689"/>
    <w:rsid w:val="775D3592"/>
    <w:rsid w:val="777A05E8"/>
    <w:rsid w:val="777B4364"/>
    <w:rsid w:val="77EBF16E"/>
    <w:rsid w:val="77F23AC1"/>
    <w:rsid w:val="77F9CEBA"/>
    <w:rsid w:val="77FA20E4"/>
    <w:rsid w:val="797E0129"/>
    <w:rsid w:val="7A140880"/>
    <w:rsid w:val="7A7D1EC5"/>
    <w:rsid w:val="7A810ADB"/>
    <w:rsid w:val="7AFD7566"/>
    <w:rsid w:val="7B3D5BB4"/>
    <w:rsid w:val="7B445194"/>
    <w:rsid w:val="7B943312"/>
    <w:rsid w:val="7BF3FEE9"/>
    <w:rsid w:val="7BF57152"/>
    <w:rsid w:val="7C277F07"/>
    <w:rsid w:val="7C6453C2"/>
    <w:rsid w:val="7C7E0232"/>
    <w:rsid w:val="7CCB71F0"/>
    <w:rsid w:val="7CEA224B"/>
    <w:rsid w:val="7D2E3AC6"/>
    <w:rsid w:val="7D6A0567"/>
    <w:rsid w:val="7D92071E"/>
    <w:rsid w:val="7DA71A0B"/>
    <w:rsid w:val="7E1D3A7B"/>
    <w:rsid w:val="7E5C421F"/>
    <w:rsid w:val="7EB4618D"/>
    <w:rsid w:val="7EB746D4"/>
    <w:rsid w:val="7ECB1729"/>
    <w:rsid w:val="7EDD0871"/>
    <w:rsid w:val="7EE53B59"/>
    <w:rsid w:val="7EE8779C"/>
    <w:rsid w:val="7EF710F1"/>
    <w:rsid w:val="7F5259A6"/>
    <w:rsid w:val="7FDFD9D1"/>
    <w:rsid w:val="7FE6EC7E"/>
    <w:rsid w:val="7FFD0449"/>
    <w:rsid w:val="9BF57F97"/>
    <w:rsid w:val="9EDFA2FD"/>
    <w:rsid w:val="AAE37E19"/>
    <w:rsid w:val="AFA5E43A"/>
    <w:rsid w:val="B8DF57B7"/>
    <w:rsid w:val="BBFF3B04"/>
    <w:rsid w:val="BDBD858C"/>
    <w:rsid w:val="BF63AC6F"/>
    <w:rsid w:val="C6FB2D7A"/>
    <w:rsid w:val="C9ED7E7B"/>
    <w:rsid w:val="D29F6E1B"/>
    <w:rsid w:val="D9E36032"/>
    <w:rsid w:val="DFBD463E"/>
    <w:rsid w:val="E3D7E3DC"/>
    <w:rsid w:val="EDE03043"/>
    <w:rsid w:val="EFDBEC63"/>
    <w:rsid w:val="F3EEE305"/>
    <w:rsid w:val="F52F8131"/>
    <w:rsid w:val="F5BD8E10"/>
    <w:rsid w:val="F5DFA439"/>
    <w:rsid w:val="F76BB3D5"/>
    <w:rsid w:val="F7AF734C"/>
    <w:rsid w:val="F7FBD77B"/>
    <w:rsid w:val="FA3F8995"/>
    <w:rsid w:val="FC5FC5F7"/>
    <w:rsid w:val="FDE32267"/>
    <w:rsid w:val="FDFB0C42"/>
    <w:rsid w:val="FEEB79D1"/>
    <w:rsid w:val="FEFE9955"/>
    <w:rsid w:val="FFBFBD73"/>
    <w:rsid w:val="FFD19EA3"/>
    <w:rsid w:val="FFFB893B"/>
    <w:rsid w:val="FFFEA6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link w:val="34"/>
    <w:qFormat/>
    <w:uiPriority w:val="9"/>
    <w:pPr>
      <w:widowControl/>
      <w:spacing w:before="100" w:beforeAutospacing="1" w:after="100" w:afterAutospacing="1"/>
      <w:jc w:val="left"/>
      <w:outlineLvl w:val="3"/>
    </w:pPr>
    <w:rPr>
      <w:rFonts w:ascii="宋体" w:hAnsi="宋体" w:eastAsia="宋体" w:cs="宋体"/>
      <w:b/>
      <w:bCs/>
      <w:kern w:val="0"/>
      <w:sz w:val="24"/>
      <w:szCs w:val="2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32"/>
    <w:unhideWhenUsed/>
    <w:qFormat/>
    <w:uiPriority w:val="99"/>
    <w:pPr>
      <w:jc w:val="left"/>
    </w:pPr>
  </w:style>
  <w:style w:type="paragraph" w:styleId="4">
    <w:name w:val="Balloon Text"/>
    <w:basedOn w:val="1"/>
    <w:link w:val="26"/>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tabs>
        <w:tab w:val="center" w:pos="4153"/>
        <w:tab w:val="right" w:pos="8306"/>
      </w:tabs>
      <w:snapToGrid w:val="0"/>
      <w:jc w:val="center"/>
    </w:pPr>
    <w:rPr>
      <w:sz w:val="18"/>
      <w:szCs w:val="18"/>
    </w:rPr>
  </w:style>
  <w:style w:type="paragraph" w:styleId="7">
    <w:name w:val="Normal (Web)"/>
    <w:basedOn w:val="1"/>
    <w:semiHidden/>
    <w:unhideWhenUsed/>
    <w:qFormat/>
    <w:uiPriority w:val="99"/>
    <w:pPr>
      <w:spacing w:beforeAutospacing="1" w:afterAutospacing="1"/>
      <w:jc w:val="left"/>
    </w:pPr>
    <w:rPr>
      <w:rFonts w:cs="Times New Roman"/>
      <w:kern w:val="0"/>
      <w:sz w:val="24"/>
    </w:rPr>
  </w:style>
  <w:style w:type="paragraph" w:styleId="8">
    <w:name w:val="annotation subject"/>
    <w:basedOn w:val="3"/>
    <w:next w:val="3"/>
    <w:link w:val="33"/>
    <w:semiHidden/>
    <w:unhideWhenUsed/>
    <w:qFormat/>
    <w:uiPriority w:val="99"/>
    <w:rPr>
      <w:b/>
      <w:bCs/>
    </w:rPr>
  </w:style>
  <w:style w:type="table" w:styleId="10">
    <w:name w:val="Table Grid"/>
    <w:basedOn w:val="9"/>
    <w:qFormat/>
    <w:uiPriority w:val="0"/>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22"/>
    <w:rPr>
      <w:b/>
      <w:bCs/>
    </w:rPr>
  </w:style>
  <w:style w:type="character" w:styleId="13">
    <w:name w:val="Hyperlink"/>
    <w:basedOn w:val="11"/>
    <w:qFormat/>
    <w:uiPriority w:val="0"/>
    <w:rPr>
      <w:color w:val="0563C1" w:themeColor="hyperlink"/>
      <w:u w:val="single"/>
      <w14:textFill>
        <w14:solidFill>
          <w14:schemeClr w14:val="hlink"/>
        </w14:solidFill>
      </w14:textFill>
    </w:rPr>
  </w:style>
  <w:style w:type="character" w:styleId="14">
    <w:name w:val="annotation reference"/>
    <w:basedOn w:val="11"/>
    <w:semiHidden/>
    <w:unhideWhenUsed/>
    <w:qFormat/>
    <w:uiPriority w:val="99"/>
    <w:rPr>
      <w:sz w:val="21"/>
      <w:szCs w:val="21"/>
    </w:rPr>
  </w:style>
  <w:style w:type="character" w:customStyle="1" w:styleId="15">
    <w:name w:val="页眉 字符"/>
    <w:basedOn w:val="11"/>
    <w:link w:val="6"/>
    <w:qFormat/>
    <w:uiPriority w:val="99"/>
    <w:rPr>
      <w:sz w:val="18"/>
      <w:szCs w:val="18"/>
    </w:rPr>
  </w:style>
  <w:style w:type="character" w:customStyle="1" w:styleId="16">
    <w:name w:val="页脚 字符"/>
    <w:basedOn w:val="11"/>
    <w:link w:val="5"/>
    <w:qFormat/>
    <w:uiPriority w:val="99"/>
    <w:rPr>
      <w:sz w:val="18"/>
      <w:szCs w:val="18"/>
    </w:rPr>
  </w:style>
  <w:style w:type="paragraph" w:customStyle="1" w:styleId="17">
    <w:name w:val="标准称谓3"/>
    <w:next w:val="1"/>
    <w:autoRedefine/>
    <w:qFormat/>
    <w:uiPriority w:val="0"/>
    <w:pPr>
      <w:framePr w:w="9639" w:h="624" w:hRule="exact" w:hSpace="181" w:vSpace="181" w:wrap="around" w:vAnchor="page" w:hAnchor="page" w:x="1305" w:y="2269" w:anchorLock="1"/>
      <w:widowControl w:val="0"/>
      <w:kinsoku w:val="0"/>
      <w:overflowPunct w:val="0"/>
      <w:autoSpaceDE w:val="0"/>
      <w:autoSpaceDN w:val="0"/>
      <w:spacing w:line="0" w:lineRule="atLeast"/>
      <w:jc w:val="distribute"/>
    </w:pPr>
    <w:rPr>
      <w:rFonts w:hint="eastAsia" w:ascii="黑体" w:hAnsi="Times New Roman" w:eastAsia="黑体" w:cs="Times New Roman"/>
      <w:sz w:val="48"/>
      <w:lang w:val="en-US" w:eastAsia="zh-CN" w:bidi="ar-SA"/>
    </w:rPr>
  </w:style>
  <w:style w:type="paragraph" w:customStyle="1" w:styleId="18">
    <w:name w:val="封面标准顶部线"/>
    <w:autoRedefine/>
    <w:qFormat/>
    <w:uiPriority w:val="0"/>
    <w:pPr>
      <w:framePr w:w="9673" w:hSpace="181" w:wrap="around" w:vAnchor="page" w:hAnchor="page" w:x="1390" w:y="4242"/>
      <w:spacing w:line="0" w:lineRule="atLeast"/>
    </w:pPr>
    <w:rPr>
      <w:rFonts w:hint="eastAsia" w:ascii="宋体" w:hAnsi="Times New Roman" w:eastAsia="宋体" w:cs="Times New Roman"/>
      <w:sz w:val="21"/>
      <w:lang w:val="en-US" w:eastAsia="zh-CN" w:bidi="ar-SA"/>
    </w:rPr>
  </w:style>
  <w:style w:type="paragraph" w:customStyle="1" w:styleId="19">
    <w:name w:val="封面日期"/>
    <w:autoRedefine/>
    <w:qFormat/>
    <w:uiPriority w:val="0"/>
    <w:pPr>
      <w:framePr w:w="9673" w:vSpace="181" w:wrap="around" w:vAnchor="page" w:hAnchor="page" w:x="1419" w:y="14176" w:anchorLock="1"/>
      <w:spacing w:line="360" w:lineRule="exact"/>
    </w:pPr>
    <w:rPr>
      <w:rFonts w:hint="eastAsia" w:ascii="黑体" w:hAnsi="Times New Roman" w:eastAsia="黑体" w:cs="Times New Roman"/>
      <w:sz w:val="28"/>
      <w:lang w:val="en-US" w:eastAsia="zh-CN" w:bidi="ar-SA"/>
    </w:rPr>
  </w:style>
  <w:style w:type="paragraph" w:customStyle="1" w:styleId="20">
    <w:name w:val="封面标准代替信息"/>
    <w:autoRedefine/>
    <w:qFormat/>
    <w:uiPriority w:val="0"/>
    <w:pPr>
      <w:framePr w:w="9355" w:h="624" w:hRule="exact" w:hSpace="181" w:vSpace="181" w:wrap="around" w:vAnchor="page" w:hAnchor="page" w:x="1419" w:y="3284"/>
      <w:spacing w:before="57" w:line="280" w:lineRule="exact"/>
      <w:jc w:val="right"/>
    </w:pPr>
    <w:rPr>
      <w:rFonts w:hint="eastAsia" w:ascii="黑体" w:hAnsi="Times New Roman" w:eastAsia="黑体" w:cs="Times New Roman"/>
      <w:sz w:val="21"/>
      <w:lang w:val="en-US" w:eastAsia="zh-CN" w:bidi="ar-SA"/>
    </w:rPr>
  </w:style>
  <w:style w:type="paragraph" w:customStyle="1" w:styleId="21">
    <w:name w:val="封面标准号2"/>
    <w:autoRedefine/>
    <w:qFormat/>
    <w:uiPriority w:val="0"/>
    <w:pPr>
      <w:framePr w:w="9355" w:h="624" w:hRule="exact" w:hSpace="181" w:vSpace="181" w:wrap="around" w:vAnchor="page" w:hAnchor="page" w:x="1419" w:y="3284"/>
      <w:spacing w:line="280" w:lineRule="exact"/>
      <w:jc w:val="right"/>
    </w:pPr>
    <w:rPr>
      <w:rFonts w:hint="eastAsia" w:ascii="黑体" w:hAnsi="Times New Roman" w:eastAsia="黑体" w:cs="Times New Roman"/>
      <w:sz w:val="28"/>
      <w:lang w:val="en-US" w:eastAsia="zh-CN" w:bidi="ar-SA"/>
    </w:rPr>
  </w:style>
  <w:style w:type="paragraph" w:customStyle="1" w:styleId="22">
    <w:name w:val="封面标准名称"/>
    <w:autoRedefine/>
    <w:qFormat/>
    <w:uiPriority w:val="0"/>
    <w:pPr>
      <w:framePr w:w="9639" w:h="6974" w:hRule="exact" w:wrap="around" w:vAnchor="page" w:hAnchor="page" w:x="1419" w:y="6408"/>
      <w:spacing w:line="700" w:lineRule="exact"/>
      <w:jc w:val="center"/>
    </w:pPr>
    <w:rPr>
      <w:rFonts w:hint="eastAsia" w:ascii="黑体" w:hAnsi="Times New Roman" w:eastAsia="黑体" w:cs="Times New Roman"/>
      <w:sz w:val="52"/>
      <w:lang w:val="en-US" w:eastAsia="zh-CN" w:bidi="ar-SA"/>
    </w:rPr>
  </w:style>
  <w:style w:type="paragraph" w:customStyle="1" w:styleId="23">
    <w:name w:val="封面标准英文名称"/>
    <w:basedOn w:val="22"/>
    <w:autoRedefine/>
    <w:qFormat/>
    <w:uiPriority w:val="0"/>
    <w:pPr>
      <w:framePr w:wrap="around"/>
      <w:widowControl w:val="0"/>
      <w:tabs>
        <w:tab w:val="left" w:pos="9639"/>
      </w:tabs>
      <w:spacing w:before="410" w:line="360" w:lineRule="exact"/>
      <w:textAlignment w:val="bottom"/>
    </w:pPr>
    <w:rPr>
      <w:rFonts w:ascii="Times New Roman"/>
      <w:sz w:val="28"/>
    </w:rPr>
  </w:style>
  <w:style w:type="paragraph" w:customStyle="1" w:styleId="24">
    <w:name w:val="封面标准文稿类别"/>
    <w:basedOn w:val="1"/>
    <w:qFormat/>
    <w:uiPriority w:val="0"/>
    <w:pPr>
      <w:framePr w:w="9639" w:h="6974" w:hRule="exact" w:wrap="around" w:vAnchor="page" w:hAnchor="page" w:x="1419" w:y="6408"/>
      <w:tabs>
        <w:tab w:val="left" w:pos="9639"/>
      </w:tabs>
      <w:spacing w:before="440" w:after="160" w:line="360" w:lineRule="exact"/>
      <w:jc w:val="center"/>
      <w:textAlignment w:val="bottom"/>
    </w:pPr>
    <w:rPr>
      <w:rFonts w:hint="eastAsia" w:ascii="黑体" w:hAnsi="黑体" w:eastAsia="黑体" w:cs="黑体"/>
      <w:kern w:val="0"/>
      <w:sz w:val="24"/>
      <w:szCs w:val="20"/>
    </w:rPr>
  </w:style>
  <w:style w:type="paragraph" w:customStyle="1" w:styleId="25">
    <w:name w:val="文献分类号"/>
    <w:autoRedefine/>
    <w:qFormat/>
    <w:uiPriority w:val="0"/>
    <w:pPr>
      <w:framePr w:w="9639" w:wrap="around" w:vAnchor="page" w:hAnchor="page" w:x="1373" w:y="568"/>
      <w:widowControl w:val="0"/>
      <w:ind w:left="-462" w:leftChars="-220" w:firstLine="462" w:firstLineChars="220"/>
      <w:textAlignment w:val="center"/>
    </w:pPr>
    <w:rPr>
      <w:rFonts w:hint="eastAsia" w:ascii="黑体" w:hAnsi="Times New Roman" w:eastAsia="黑体" w:cs="Times New Roman"/>
      <w:kern w:val="21"/>
      <w:sz w:val="21"/>
      <w:lang w:val="en-US" w:eastAsia="zh-CN" w:bidi="ar-SA"/>
    </w:rPr>
  </w:style>
  <w:style w:type="character" w:customStyle="1" w:styleId="26">
    <w:name w:val="批注框文本 字符"/>
    <w:basedOn w:val="11"/>
    <w:link w:val="4"/>
    <w:semiHidden/>
    <w:qFormat/>
    <w:uiPriority w:val="99"/>
    <w:rPr>
      <w:rFonts w:asciiTheme="minorHAnsi" w:hAnsiTheme="minorHAnsi" w:eastAsiaTheme="minorEastAsia" w:cstheme="minorBidi"/>
      <w:kern w:val="2"/>
      <w:sz w:val="18"/>
      <w:szCs w:val="18"/>
    </w:rPr>
  </w:style>
  <w:style w:type="paragraph" w:customStyle="1" w:styleId="27">
    <w:name w:val="修订1"/>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8">
    <w:name w:val="标准书眉_奇数页"/>
    <w:next w:val="1"/>
    <w:autoRedefine/>
    <w:qFormat/>
    <w:uiPriority w:val="0"/>
    <w:pPr>
      <w:tabs>
        <w:tab w:val="center" w:pos="4153"/>
        <w:tab w:val="right" w:pos="8306"/>
      </w:tabs>
      <w:spacing w:after="120"/>
      <w:jc w:val="right"/>
    </w:pPr>
    <w:rPr>
      <w:rFonts w:hint="eastAsia" w:ascii="黑体" w:hAnsi="Times New Roman" w:eastAsia="黑体" w:cs="黑体"/>
      <w:sz w:val="21"/>
      <w:lang w:val="en-US" w:eastAsia="zh-CN" w:bidi="ar-SA"/>
    </w:rPr>
  </w:style>
  <w:style w:type="paragraph" w:styleId="29">
    <w:name w:val="List Paragraph"/>
    <w:basedOn w:val="1"/>
    <w:unhideWhenUsed/>
    <w:qFormat/>
    <w:uiPriority w:val="99"/>
    <w:pPr>
      <w:ind w:firstLine="420" w:firstLineChars="200"/>
    </w:pPr>
  </w:style>
  <w:style w:type="paragraph" w:customStyle="1" w:styleId="30">
    <w:name w:val="章标题"/>
    <w:next w:val="1"/>
    <w:autoRedefine/>
    <w:qFormat/>
    <w:uiPriority w:val="0"/>
    <w:pPr>
      <w:spacing w:beforeLines="100" w:afterLines="100"/>
      <w:jc w:val="both"/>
    </w:pPr>
    <w:rPr>
      <w:rFonts w:ascii="黑体" w:hAnsi="Times New Roman" w:eastAsia="黑体" w:cs="Times New Roman"/>
      <w:sz w:val="21"/>
      <w:lang w:val="en-US" w:eastAsia="zh-CN" w:bidi="ar-SA"/>
    </w:rPr>
  </w:style>
  <w:style w:type="paragraph" w:customStyle="1" w:styleId="31">
    <w:name w:val="标准文件_段"/>
    <w:autoRedefine/>
    <w:qFormat/>
    <w:uiPriority w:val="0"/>
    <w:pPr>
      <w:ind w:firstLine="960" w:firstLineChars="200"/>
      <w:jc w:val="both"/>
    </w:pPr>
    <w:rPr>
      <w:rFonts w:hint="eastAsia" w:ascii="宋体" w:hAnsi="Times New Roman" w:eastAsia="宋体" w:cs="宋体"/>
      <w:sz w:val="21"/>
      <w:lang w:val="en-US" w:eastAsia="zh-CN" w:bidi="ar-SA"/>
    </w:rPr>
  </w:style>
  <w:style w:type="character" w:customStyle="1" w:styleId="32">
    <w:name w:val="批注文字 字符"/>
    <w:basedOn w:val="11"/>
    <w:link w:val="3"/>
    <w:qFormat/>
    <w:uiPriority w:val="99"/>
    <w:rPr>
      <w:rFonts w:asciiTheme="minorHAnsi" w:hAnsiTheme="minorHAnsi" w:eastAsiaTheme="minorEastAsia" w:cstheme="minorBidi"/>
      <w:kern w:val="2"/>
      <w:sz w:val="21"/>
      <w:szCs w:val="22"/>
    </w:rPr>
  </w:style>
  <w:style w:type="character" w:customStyle="1" w:styleId="33">
    <w:name w:val="批注主题 字符"/>
    <w:basedOn w:val="32"/>
    <w:link w:val="8"/>
    <w:semiHidden/>
    <w:qFormat/>
    <w:uiPriority w:val="99"/>
    <w:rPr>
      <w:rFonts w:asciiTheme="minorHAnsi" w:hAnsiTheme="minorHAnsi" w:eastAsiaTheme="minorEastAsia" w:cstheme="minorBidi"/>
      <w:b/>
      <w:bCs/>
      <w:kern w:val="2"/>
      <w:sz w:val="21"/>
      <w:szCs w:val="22"/>
    </w:rPr>
  </w:style>
  <w:style w:type="character" w:customStyle="1" w:styleId="34">
    <w:name w:val="标题 4 字符"/>
    <w:basedOn w:val="11"/>
    <w:link w:val="2"/>
    <w:qFormat/>
    <w:uiPriority w:val="9"/>
    <w:rPr>
      <w:rFonts w:ascii="宋体" w:hAnsi="宋体" w:cs="宋体"/>
      <w:b/>
      <w:bCs/>
      <w:sz w:val="24"/>
      <w:szCs w:val="24"/>
    </w:rPr>
  </w:style>
  <w:style w:type="paragraph" w:customStyle="1" w:styleId="35">
    <w:name w:val="Body text|1"/>
    <w:basedOn w:val="1"/>
    <w:autoRedefine/>
    <w:qFormat/>
    <w:uiPriority w:val="0"/>
    <w:pPr>
      <w:spacing w:line="319" w:lineRule="auto"/>
      <w:ind w:firstLine="400"/>
    </w:pPr>
    <w:rPr>
      <w:rFonts w:ascii="宋体" w:hAnsi="宋体" w:eastAsia="宋体" w:cs="宋体"/>
      <w:sz w:val="20"/>
      <w:szCs w:val="20"/>
      <w:lang w:val="zh-TW" w:eastAsia="zh-TW" w:bidi="zh-TW"/>
    </w:rPr>
  </w:style>
  <w:style w:type="paragraph" w:customStyle="1" w:styleId="36">
    <w:name w:val="一级条标题"/>
    <w:next w:val="1"/>
    <w:qFormat/>
    <w:uiPriority w:val="0"/>
    <w:pPr>
      <w:spacing w:beforeLines="50" w:afterLines="50"/>
      <w:ind w:left="284"/>
      <w:outlineLvl w:val="2"/>
    </w:pPr>
    <w:rPr>
      <w:rFonts w:ascii="黑体" w:hAnsi="Times New Roman" w:eastAsia="黑体" w:cs="Times New Roman"/>
      <w:sz w:val="21"/>
      <w:szCs w:val="21"/>
      <w:lang w:val="en-US" w:eastAsia="zh-CN" w:bidi="ar-SA"/>
    </w:rPr>
  </w:style>
  <w:style w:type="paragraph" w:customStyle="1" w:styleId="37">
    <w:name w:val="二级条标题"/>
    <w:basedOn w:val="36"/>
    <w:next w:val="1"/>
    <w:qFormat/>
    <w:uiPriority w:val="0"/>
    <w:pPr>
      <w:spacing w:before="50" w:after="50"/>
      <w:ind w:left="142"/>
      <w:outlineLvl w:val="3"/>
    </w:pPr>
  </w:style>
  <w:style w:type="paragraph" w:customStyle="1" w:styleId="38">
    <w:name w:val="三级条标题"/>
    <w:basedOn w:val="37"/>
    <w:next w:val="1"/>
    <w:qFormat/>
    <w:uiPriority w:val="0"/>
    <w:pPr>
      <w:ind w:left="284"/>
      <w:outlineLvl w:val="4"/>
    </w:pPr>
  </w:style>
  <w:style w:type="paragraph" w:customStyle="1" w:styleId="39">
    <w:name w:val="四级条标题"/>
    <w:basedOn w:val="38"/>
    <w:next w:val="1"/>
    <w:qFormat/>
    <w:uiPriority w:val="0"/>
    <w:pPr>
      <w:ind w:left="568"/>
      <w:outlineLvl w:val="5"/>
    </w:pPr>
  </w:style>
  <w:style w:type="paragraph" w:customStyle="1" w:styleId="40">
    <w:name w:val="五级条标题"/>
    <w:basedOn w:val="39"/>
    <w:next w:val="1"/>
    <w:qFormat/>
    <w:uiPriority w:val="0"/>
    <w:pPr>
      <w:ind w:left="0"/>
      <w:outlineLvl w:val="6"/>
    </w:pPr>
  </w:style>
  <w:style w:type="table" w:customStyle="1" w:styleId="41">
    <w:name w:val="网格型1"/>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glossaryDocument" Target="glossary/document.xml"/><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BB8A8EDF21F74C1FBAC0286AFD73E5CC"/>
        <w:style w:val=""/>
        <w:category>
          <w:name w:val="常规"/>
          <w:gallery w:val="placeholder"/>
        </w:category>
        <w:types>
          <w:type w:val="bbPlcHdr"/>
        </w:types>
        <w:behaviors>
          <w:behavior w:val="content"/>
        </w:behaviors>
        <w:description w:val=""/>
        <w:guid w:val="{FBE1206D-6F92-4118-87D3-9EE5F81516AC}"/>
      </w:docPartPr>
      <w:docPartBody>
        <w:p w14:paraId="27295265">
          <w:pPr>
            <w:pStyle w:val="4"/>
            <w:rPr>
              <w:rFonts w:hint="eastAsia"/>
            </w:rPr>
          </w:pPr>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
  <w:rsids>
    <w:rsidRoot w:val="00C61AA7"/>
    <w:rsid w:val="000B595A"/>
    <w:rsid w:val="00107CCF"/>
    <w:rsid w:val="001223D9"/>
    <w:rsid w:val="001352C1"/>
    <w:rsid w:val="00217FB2"/>
    <w:rsid w:val="00252A62"/>
    <w:rsid w:val="0025486D"/>
    <w:rsid w:val="00277466"/>
    <w:rsid w:val="002D3947"/>
    <w:rsid w:val="002D5006"/>
    <w:rsid w:val="00314404"/>
    <w:rsid w:val="003333C0"/>
    <w:rsid w:val="00342170"/>
    <w:rsid w:val="003516C4"/>
    <w:rsid w:val="0035529F"/>
    <w:rsid w:val="00470ACD"/>
    <w:rsid w:val="0047564E"/>
    <w:rsid w:val="004E6809"/>
    <w:rsid w:val="00517166"/>
    <w:rsid w:val="005251CF"/>
    <w:rsid w:val="005329DB"/>
    <w:rsid w:val="0054598D"/>
    <w:rsid w:val="005B3148"/>
    <w:rsid w:val="00647DA4"/>
    <w:rsid w:val="006B44FA"/>
    <w:rsid w:val="007117E2"/>
    <w:rsid w:val="007740C4"/>
    <w:rsid w:val="007E44E9"/>
    <w:rsid w:val="00836988"/>
    <w:rsid w:val="00844D40"/>
    <w:rsid w:val="00872B85"/>
    <w:rsid w:val="009C7869"/>
    <w:rsid w:val="00A015E0"/>
    <w:rsid w:val="00A9630A"/>
    <w:rsid w:val="00B1217C"/>
    <w:rsid w:val="00BA4D51"/>
    <w:rsid w:val="00BD60DB"/>
    <w:rsid w:val="00C27189"/>
    <w:rsid w:val="00C61AA7"/>
    <w:rsid w:val="00CD43EF"/>
    <w:rsid w:val="00D01B5A"/>
    <w:rsid w:val="00D80868"/>
    <w:rsid w:val="00E471FB"/>
    <w:rsid w:val="00EE320C"/>
    <w:rsid w:val="00F031E0"/>
    <w:rsid w:val="00F363AE"/>
    <w:rsid w:val="00F75B69"/>
    <w:rsid w:val="00F97C50"/>
    <w:rsid w:val="00FC535C"/>
    <w:rsid w:val="00FF76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customStyle="1" w:styleId="4">
    <w:name w:val="BB8A8EDF21F74C1FBAC0286AFD73E5CC"/>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9</Pages>
  <Words>5235</Words>
  <Characters>6040</Characters>
  <Lines>47</Lines>
  <Paragraphs>13</Paragraphs>
  <TotalTime>45</TotalTime>
  <ScaleCrop>false</ScaleCrop>
  <LinksUpToDate>false</LinksUpToDate>
  <CharactersWithSpaces>6279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2026-03-20T07:16:00Z</dcterms:created>
  <dc:creator>志成</dc:creator>
  <cp:lastModifiedBy>房正</cp:lastModifiedBy>
  <cp:lastPrinted>2025-04-08T07:06:00Z</cp:lastPrinted>
  <dcterms:modified xsi:type="dcterms:W3CDTF">2026-04-15T03:19:36Z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9287222E757F4CAABACC28E632BE9844_13</vt:lpwstr>
  </property>
  <property fmtid="{D5CDD505-2E9C-101B-9397-08002B2CF9AE}" pid="4" name="KSOTemplateDocerSaveRecord">
    <vt:lpwstr>eyJoZGlkIjoiMGUyOGZlMzdlZWEyMGFlYzc0ZWE1MGJlZjA4NmY3NTMiLCJ1c2VySWQiOiIyNzM3NDc2MDMifQ==</vt:lpwstr>
  </property>
</Properties>
</file>