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81C96">
      <w:pPr>
        <w:pStyle w:val="18"/>
        <w:framePr w:wrap="around"/>
        <w:rPr>
          <w:rFonts w:hint="default"/>
        </w:rPr>
      </w:pPr>
      <w:r>
        <w:t>中国绿色食品协会团体标准</w:t>
      </w:r>
    </w:p>
    <w:p w14:paraId="629D6F3F">
      <w:pPr>
        <w:pStyle w:val="22"/>
        <w:framePr w:wrap="around" w:x="1470" w:y="3511"/>
        <w:rPr>
          <w:rFonts w:hint="default"/>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T/CGFAXXX-202X</w:t>
      </w:r>
    </w:p>
    <w:p w14:paraId="4CC1AC09">
      <w:pPr>
        <w:pStyle w:val="21"/>
        <w:framePr w:wrap="around" w:x="1470" w:y="3511"/>
        <w:rPr>
          <w:rFonts w:hint="default"/>
          <w14:shadow w14:blurRad="50800" w14:dist="38100" w14:dir="2700000" w14:sx="100000" w14:sy="100000" w14:kx="0" w14:ky="0" w14:algn="tl">
            <w14:srgbClr w14:val="000000">
              <w14:alpha w14:val="60000"/>
            </w14:srgbClr>
          </w14:shadow>
        </w:rPr>
      </w:pPr>
    </w:p>
    <w:tbl>
      <w:tblPr>
        <w:tblStyle w:val="11"/>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14:paraId="219AB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741" w:type="dxa"/>
            <w:tcBorders>
              <w:top w:val="single" w:color="auto" w:sz="8" w:space="0"/>
            </w:tcBorders>
          </w:tcPr>
          <w:p w14:paraId="3CF1C18B">
            <w:pPr>
              <w:pStyle w:val="19"/>
              <w:framePr w:wrap="around"/>
              <w:rPr>
                <w:rFonts w:hAnsiTheme="minorHAnsi" w:eastAsiaTheme="minorEastAsia" w:cstheme="minorBidi"/>
                <w:sz w:val="10"/>
              </w:rPr>
            </w:pPr>
          </w:p>
        </w:tc>
      </w:tr>
    </w:tbl>
    <w:p w14:paraId="318CA5AA">
      <w:pPr>
        <w:framePr w:w="9988" w:h="6974" w:hRule="exact" w:wrap="around" w:vAnchor="page" w:hAnchor="page" w:x="1244" w:y="6408"/>
        <w:spacing w:line="560" w:lineRule="exact"/>
        <w:jc w:val="center"/>
        <w:rPr>
          <w:rFonts w:hint="eastAsia" w:ascii="黑体" w:hAnsi="黑体" w:eastAsia="黑体" w:cs="华文中宋"/>
          <w:bCs/>
          <w:sz w:val="48"/>
          <w:szCs w:val="48"/>
        </w:rPr>
      </w:pPr>
      <w:bookmarkStart w:id="0" w:name="OLE_LINK9"/>
      <w:bookmarkStart w:id="1" w:name="OLE_LINK10"/>
      <w:r>
        <w:rPr>
          <w:rFonts w:hint="eastAsia" w:ascii="黑体" w:hAnsi="黑体" w:eastAsia="黑体" w:cs="华文中宋"/>
          <w:bCs/>
          <w:sz w:val="48"/>
          <w:szCs w:val="48"/>
        </w:rPr>
        <w:t>绿色食品 新疆地区</w:t>
      </w:r>
      <w:bookmarkStart w:id="2" w:name="OLE_LINK2"/>
      <w:r>
        <w:rPr>
          <w:rFonts w:hint="eastAsia" w:ascii="黑体" w:hAnsi="黑体" w:eastAsia="黑体" w:cs="华文中宋"/>
          <w:bCs/>
          <w:sz w:val="48"/>
          <w:szCs w:val="48"/>
        </w:rPr>
        <w:t>露地鲜食葡萄生产操作规程</w:t>
      </w:r>
      <w:bookmarkEnd w:id="2"/>
    </w:p>
    <w:bookmarkEnd w:id="0"/>
    <w:bookmarkEnd w:id="1"/>
    <w:p w14:paraId="2F276CCF">
      <w:pPr>
        <w:pStyle w:val="24"/>
        <w:framePr w:w="9988" w:wrap="around" w:x="1244"/>
        <w:rPr>
          <w:rFonts w:hint="default"/>
        </w:rPr>
      </w:pPr>
      <w:r>
        <w:t>Code of Practice for Green Food Open-field Table Grape Production in Xinjiang</w:t>
      </w:r>
    </w:p>
    <w:p w14:paraId="2DF763D4">
      <w:pPr>
        <w:pStyle w:val="24"/>
        <w:framePr w:w="9988" w:wrap="around" w:x="1244"/>
        <w:rPr>
          <w:sz w:val="36"/>
          <w:szCs w:val="22"/>
        </w:rPr>
      </w:pPr>
    </w:p>
    <w:p w14:paraId="2E754696">
      <w:pPr>
        <w:pStyle w:val="24"/>
        <w:framePr w:w="9988" w:wrap="around" w:x="1244"/>
        <w:rPr>
          <w:rFonts w:hint="default"/>
          <w:sz w:val="36"/>
          <w:szCs w:val="22"/>
        </w:rPr>
      </w:pPr>
      <w:r>
        <w:rPr>
          <w:sz w:val="36"/>
          <w:szCs w:val="22"/>
        </w:rPr>
        <w:t>（</w:t>
      </w:r>
      <w:r>
        <w:rPr>
          <w:rFonts w:hint="eastAsia"/>
          <w:sz w:val="36"/>
          <w:szCs w:val="22"/>
          <w:lang w:val="en-US" w:eastAsia="zh-CN"/>
        </w:rPr>
        <w:t>征求意见稿</w:t>
      </w:r>
      <w:r>
        <w:rPr>
          <w:sz w:val="36"/>
          <w:szCs w:val="22"/>
        </w:rPr>
        <w:t>）</w:t>
      </w:r>
    </w:p>
    <w:tbl>
      <w:tblPr>
        <w:tblStyle w:val="11"/>
        <w:tblW w:w="104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74"/>
        <w:gridCol w:w="5508"/>
      </w:tblGrid>
      <w:tr w14:paraId="5BCD3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exact"/>
        </w:trPr>
        <w:tc>
          <w:tcPr>
            <w:tcW w:w="4974" w:type="dxa"/>
            <w:tcBorders>
              <w:bottom w:val="single" w:color="auto" w:sz="8" w:space="0"/>
            </w:tcBorders>
            <w:tcMar>
              <w:left w:w="57" w:type="dxa"/>
              <w:bottom w:w="28" w:type="dxa"/>
            </w:tcMar>
          </w:tcPr>
          <w:p w14:paraId="0D3087FB">
            <w:pPr>
              <w:pStyle w:val="20"/>
              <w:framePr w:wrap="around"/>
              <w:rPr>
                <w:rFonts w:hAnsiTheme="minorHAnsi" w:cstheme="minorBidi"/>
              </w:rPr>
            </w:pPr>
            <w:r>
              <w:rPr>
                <w:rFonts w:hAnsiTheme="minorHAnsi" w:cstheme="minorBidi"/>
              </w:rPr>
              <w:t xml:space="preserve">202X </w:t>
            </w:r>
            <w:r>
              <w:rPr>
                <w:rFonts w:ascii="宋体" w:hAnsi="宋体" w:eastAsia="宋体" w:cs="宋体"/>
              </w:rPr>
              <w:t>–</w:t>
            </w:r>
            <w:r>
              <w:rPr>
                <w:rFonts w:ascii="宋体" w:hAnsi="宋体" w:eastAsia="宋体" w:cs="宋体"/>
                <w:b/>
                <w:bCs/>
              </w:rPr>
              <w:t>X</w:t>
            </w:r>
            <w:r>
              <w:rPr>
                <w:rFonts w:ascii="宋体" w:hAnsi="宋体" w:eastAsia="宋体" w:cs="宋体"/>
              </w:rPr>
              <w:t xml:space="preserve">– </w:t>
            </w:r>
            <w:r>
              <w:rPr>
                <w:rFonts w:hAnsiTheme="minorHAnsi" w:cstheme="minorBidi"/>
              </w:rPr>
              <w:t>X 发布</w:t>
            </w:r>
          </w:p>
        </w:tc>
        <w:tc>
          <w:tcPr>
            <w:tcW w:w="5508" w:type="dxa"/>
            <w:tcBorders>
              <w:bottom w:val="single" w:color="auto" w:sz="8" w:space="0"/>
            </w:tcBorders>
            <w:tcMar>
              <w:right w:w="57" w:type="dxa"/>
            </w:tcMar>
          </w:tcPr>
          <w:p w14:paraId="19DD59DD">
            <w:pPr>
              <w:pStyle w:val="20"/>
              <w:framePr w:wrap="around"/>
              <w:ind w:right="1120"/>
              <w:jc w:val="right"/>
              <w:rPr>
                <w:rFonts w:hAnsiTheme="minorHAnsi" w:cstheme="minorBidi"/>
              </w:rPr>
            </w:pPr>
            <w:r>
              <w:rPr>
                <w:rFonts w:hAnsiTheme="minorHAnsi" w:cstheme="minorBidi"/>
              </w:rPr>
              <w:t xml:space="preserve">    202X </w:t>
            </w:r>
            <w:r>
              <w:rPr>
                <w:rFonts w:ascii="宋体" w:hAnsi="宋体" w:eastAsia="宋体" w:cs="宋体"/>
              </w:rPr>
              <w:t>–</w:t>
            </w:r>
            <w:r>
              <w:rPr>
                <w:rFonts w:hAnsiTheme="minorHAnsi" w:cstheme="minorBidi"/>
              </w:rPr>
              <w:t>X</w:t>
            </w:r>
            <w:r>
              <w:rPr>
                <w:rFonts w:ascii="宋体" w:hAnsi="宋体" w:eastAsia="宋体" w:cs="宋体"/>
              </w:rPr>
              <w:t>–</w:t>
            </w:r>
            <w:r>
              <w:rPr>
                <w:rFonts w:hAnsiTheme="minorHAnsi" w:cstheme="minorBidi"/>
              </w:rPr>
              <w:t>X 实施</w:t>
            </w:r>
          </w:p>
        </w:tc>
      </w:tr>
    </w:tbl>
    <w:p w14:paraId="6ACA5C30">
      <w:pPr>
        <w:framePr w:w="7433" w:h="584" w:hRule="exact" w:hSpace="181" w:vSpace="181" w:wrap="around" w:vAnchor="page" w:hAnchor="margin" w:xAlign="center" w:y="15151" w:anchorLock="1"/>
        <w:widowControl/>
        <w:spacing w:line="0" w:lineRule="atLeast"/>
        <w:jc w:val="center"/>
        <w:rPr>
          <w:rFonts w:hint="eastAsia" w:ascii="黑体" w:hAnsi="黑体" w:eastAsia="黑体" w:cs="Times New Roman"/>
          <w:kern w:val="0"/>
          <w:sz w:val="44"/>
          <w:szCs w:val="44"/>
        </w:rPr>
      </w:pPr>
      <w:r>
        <w:rPr>
          <w:rFonts w:ascii="黑体" w:hAnsi="黑体" w:eastAsia="黑体" w:cs="Times New Roman"/>
          <w:spacing w:val="20"/>
          <w:kern w:val="0"/>
          <w:sz w:val="44"/>
          <w:szCs w:val="44"/>
        </w:rPr>
        <w:t>中国绿色食品协会</w:t>
      </w:r>
      <w:r>
        <w:rPr>
          <w:rFonts w:ascii="黑体" w:hAnsi="黑体" w:eastAsia="黑体" w:cs="Times New Roman"/>
          <w:kern w:val="0"/>
          <w:sz w:val="44"/>
          <w:szCs w:val="44"/>
        </w:rPr>
        <w:t xml:space="preserve">    </w:t>
      </w:r>
      <w:r>
        <w:rPr>
          <w:rFonts w:ascii="黑体" w:hAnsi="黑体" w:eastAsia="黑体" w:cs="Times New Roman"/>
          <w:kern w:val="0"/>
          <w:sz w:val="36"/>
          <w:szCs w:val="36"/>
        </w:rPr>
        <w:t>发布</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7"/>
      </w:tblGrid>
      <w:tr w14:paraId="4AE1A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703F8908">
            <w:pPr>
              <w:pStyle w:val="26"/>
              <w:framePr w:wrap="around"/>
              <w:rPr>
                <w:rFonts w:hAnsiTheme="minorHAnsi" w:cstheme="minorBidi"/>
              </w:rPr>
            </w:pPr>
            <w:r>
              <w:rPr>
                <w:rFonts w:hAnsiTheme="minorHAnsi" w:cstheme="minorBidi"/>
              </w:rPr>
              <w:t>ICS</w:t>
            </w:r>
          </w:p>
        </w:tc>
        <w:tc>
          <w:tcPr>
            <w:tcW w:w="9107" w:type="dxa"/>
          </w:tcPr>
          <w:p w14:paraId="5078F1D0">
            <w:pPr>
              <w:pStyle w:val="26"/>
              <w:framePr w:wrap="around"/>
              <w:rPr>
                <w:rFonts w:hAnsiTheme="minorHAnsi" w:cstheme="minorBidi"/>
              </w:rPr>
            </w:pPr>
          </w:p>
        </w:tc>
      </w:tr>
      <w:tr w14:paraId="2C5D2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4DC827EA">
            <w:pPr>
              <w:pStyle w:val="26"/>
              <w:framePr w:wrap="around"/>
              <w:rPr>
                <w:rFonts w:hAnsiTheme="minorHAnsi" w:cstheme="minorBidi"/>
              </w:rPr>
            </w:pPr>
            <w:r>
              <w:rPr>
                <w:rFonts w:hAnsiTheme="minorHAnsi" w:cstheme="minorBidi"/>
              </w:rPr>
              <w:t>CCS B</w:t>
            </w:r>
          </w:p>
        </w:tc>
        <w:tc>
          <w:tcPr>
            <w:tcW w:w="9107" w:type="dxa"/>
          </w:tcPr>
          <w:p w14:paraId="12B00D02">
            <w:pPr>
              <w:pStyle w:val="26"/>
              <w:framePr w:wrap="around"/>
              <w:rPr>
                <w:rFonts w:hAnsiTheme="minorHAnsi" w:cstheme="minorBidi"/>
              </w:rPr>
            </w:pPr>
          </w:p>
          <w:tbl>
            <w:tblPr>
              <w:tblStyle w:val="11"/>
              <w:tblpPr w:vertAnchor="page" w:horzAnchor="margin" w:tblpXSpec="right" w:tblpY="114"/>
              <w:tblOverlap w:val="never"/>
              <w:tblW w:w="6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62"/>
            </w:tblGrid>
            <w:tr w14:paraId="37A91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1" w:hRule="atLeast"/>
              </w:trPr>
              <w:tc>
                <w:tcPr>
                  <w:tcW w:w="9107" w:type="dxa"/>
                  <w:vAlign w:val="center"/>
                </w:tcPr>
                <w:p w14:paraId="06EFC6C5">
                  <w:pPr>
                    <w:pStyle w:val="26"/>
                    <w:framePr w:wrap="around"/>
                    <w:ind w:left="0" w:leftChars="0" w:firstLine="2747"/>
                    <w:jc w:val="right"/>
                    <w:rPr>
                      <w:rFonts w:ascii="Times New Roman" w:eastAsia="宋体" w:hAnsiTheme="minorHAnsi" w:cstheme="minorBidi"/>
                      <w:b/>
                      <w:w w:val="130"/>
                      <w:kern w:val="0"/>
                    </w:rPr>
                  </w:pPr>
                  <w:r>
                    <w:rPr>
                      <w:rFonts w:hint="default" w:hAnsi="黑体" w:cs="楷体"/>
                      <w:b/>
                      <w:w w:val="130"/>
                      <w:kern w:val="0"/>
                      <w:sz w:val="96"/>
                    </w:rPr>
                    <w:t>T/CGFA</w:t>
                  </w:r>
                </w:p>
              </w:tc>
            </w:tr>
          </w:tbl>
          <w:p w14:paraId="6D5D38E9">
            <w:pPr>
              <w:pStyle w:val="26"/>
              <w:framePr w:wrap="around"/>
              <w:rPr>
                <w:rFonts w:hAnsiTheme="minorHAnsi" w:cstheme="minorBidi"/>
              </w:rPr>
            </w:pPr>
          </w:p>
        </w:tc>
      </w:tr>
      <w:tr w14:paraId="6922F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0DC6B404">
            <w:pPr>
              <w:pStyle w:val="26"/>
              <w:framePr w:wrap="around"/>
              <w:rPr>
                <w:rFonts w:hAnsiTheme="minorHAnsi" w:cstheme="minorBidi"/>
              </w:rPr>
            </w:pPr>
          </w:p>
        </w:tc>
        <w:tc>
          <w:tcPr>
            <w:tcW w:w="9107" w:type="dxa"/>
          </w:tcPr>
          <w:p w14:paraId="1AF4C816">
            <w:pPr>
              <w:pStyle w:val="26"/>
              <w:framePr w:wrap="around"/>
              <w:ind w:left="0" w:leftChars="0" w:firstLine="0" w:firstLineChars="0"/>
              <w:rPr>
                <w:rFonts w:hAnsiTheme="minorHAnsi" w:cstheme="minorBidi"/>
              </w:rPr>
            </w:pPr>
          </w:p>
          <w:p w14:paraId="3BACA42C">
            <w:pPr>
              <w:pStyle w:val="26"/>
              <w:framePr w:wrap="around"/>
              <w:rPr>
                <w:rFonts w:hAnsiTheme="minorHAnsi" w:cstheme="minorBidi"/>
              </w:rPr>
            </w:pPr>
            <w:r>
              <w:rPr>
                <w:rFonts w:hAnsiTheme="minorHAnsi" w:cstheme="minorBidi"/>
              </w:rPr>
              <w:t xml:space="preserve"> </w:t>
            </w:r>
          </w:p>
        </w:tc>
      </w:tr>
    </w:tbl>
    <w:p w14:paraId="7E756EE6">
      <w:pPr>
        <w:rPr>
          <w:rFonts w:hint="eastAsia"/>
        </w:rPr>
        <w:sectPr>
          <w:pgSz w:w="11906" w:h="16838"/>
          <w:pgMar w:top="1440" w:right="1800" w:bottom="1440" w:left="1800" w:header="851" w:footer="992" w:gutter="0"/>
          <w:cols w:space="425" w:num="1"/>
          <w:docGrid w:type="lines" w:linePitch="312" w:charSpace="0"/>
        </w:sectPr>
      </w:pPr>
    </w:p>
    <w:p w14:paraId="7A2C7805">
      <w:pPr>
        <w:jc w:val="center"/>
        <w:rPr>
          <w:rFonts w:hint="eastAsia" w:ascii="黑体" w:hAnsi="黑体" w:eastAsia="黑体"/>
          <w:bCs/>
          <w:sz w:val="32"/>
          <w:szCs w:val="32"/>
        </w:rPr>
      </w:pPr>
      <w:r>
        <w:rPr>
          <w:rFonts w:hint="eastAsia" w:ascii="黑体" w:hAnsi="黑体" w:eastAsia="黑体"/>
          <w:bCs/>
          <w:sz w:val="32"/>
          <w:szCs w:val="32"/>
        </w:rPr>
        <w:t>前   言</w:t>
      </w:r>
    </w:p>
    <w:p w14:paraId="17054B6F">
      <w:pPr>
        <w:ind w:firstLine="420" w:firstLineChars="200"/>
        <w:rPr>
          <w:rFonts w:hint="eastAsia" w:ascii="宋体" w:hAnsi="宋体" w:eastAsia="宋体"/>
        </w:rPr>
      </w:pPr>
      <w:r>
        <w:rPr>
          <w:rFonts w:hint="eastAsia" w:ascii="宋体" w:hAnsi="宋体" w:eastAsia="宋体"/>
        </w:rPr>
        <w:t>本文件按照 GB/T 1.1-2020《标准化工作导则 第1部分：标准化文件的结构和起草规则》的规则起草。</w:t>
      </w:r>
    </w:p>
    <w:p w14:paraId="412B9F4A">
      <w:pPr>
        <w:ind w:firstLine="420" w:firstLineChars="200"/>
        <w:rPr>
          <w:rFonts w:hint="eastAsia" w:ascii="宋体" w:hAnsi="宋体" w:eastAsia="宋体"/>
        </w:rPr>
      </w:pPr>
      <w:r>
        <w:rPr>
          <w:rFonts w:hint="eastAsia" w:ascii="宋体" w:hAnsi="宋体" w:eastAsia="宋体"/>
        </w:rPr>
        <w:t>请注意本文件的某些内容可能涉及专利，本文件的发布机构不承担识别专利的责任。</w:t>
      </w:r>
    </w:p>
    <w:p w14:paraId="418ABC0A">
      <w:pPr>
        <w:ind w:firstLine="420" w:firstLineChars="200"/>
        <w:rPr>
          <w:rFonts w:hint="eastAsia" w:ascii="宋体" w:hAnsi="宋体" w:eastAsia="宋体"/>
        </w:rPr>
      </w:pPr>
      <w:r>
        <w:rPr>
          <w:rFonts w:hint="eastAsia" w:ascii="宋体" w:hAnsi="宋体" w:eastAsia="宋体"/>
        </w:rPr>
        <w:t>本文件由中国绿色食品发展中心提出。</w:t>
      </w:r>
    </w:p>
    <w:p w14:paraId="025CA387">
      <w:pPr>
        <w:ind w:firstLine="420" w:firstLineChars="200"/>
        <w:rPr>
          <w:rFonts w:hint="eastAsia" w:ascii="宋体" w:hAnsi="宋体" w:eastAsia="宋体"/>
        </w:rPr>
      </w:pPr>
      <w:r>
        <w:rPr>
          <w:rFonts w:hint="eastAsia" w:ascii="宋体" w:hAnsi="宋体" w:eastAsia="宋体"/>
        </w:rPr>
        <w:t>本文件由中国绿色食品协会归口。</w:t>
      </w:r>
    </w:p>
    <w:p w14:paraId="36FA27FE">
      <w:pPr>
        <w:ind w:firstLine="420" w:firstLineChars="200"/>
        <w:rPr>
          <w:rFonts w:hint="eastAsia" w:ascii="宋体" w:hAnsi="宋体" w:eastAsia="宋体"/>
          <w:b/>
          <w:lang w:eastAsia="zh-CN"/>
        </w:rPr>
      </w:pPr>
      <w:bookmarkStart w:id="3" w:name="_Hlk224907853"/>
      <w:r>
        <w:rPr>
          <w:rFonts w:hint="eastAsia" w:ascii="宋体" w:hAnsi="宋体" w:eastAsia="宋体"/>
        </w:rPr>
        <w:t>本标准起草单位：</w:t>
      </w:r>
      <w:r>
        <w:rPr>
          <w:rFonts w:hint="eastAsia" w:ascii="宋体" w:hAnsi="宋体" w:eastAsia="宋体"/>
          <w:lang w:val="en-US" w:eastAsia="zh-CN"/>
        </w:rPr>
        <w:t>*</w:t>
      </w:r>
      <w:bookmarkStart w:id="16" w:name="_GoBack"/>
      <w:bookmarkEnd w:id="16"/>
    </w:p>
    <w:p w14:paraId="35DD0CB9">
      <w:pPr>
        <w:ind w:firstLine="420" w:firstLineChars="200"/>
        <w:rPr>
          <w:rFonts w:hint="eastAsia" w:ascii="宋体" w:hAnsi="宋体" w:eastAsia="宋体"/>
          <w:lang w:eastAsia="zh-CN"/>
        </w:rPr>
      </w:pPr>
      <w:r>
        <w:rPr>
          <w:rFonts w:hint="eastAsia" w:ascii="宋体" w:hAnsi="宋体" w:eastAsia="宋体"/>
        </w:rPr>
        <w:t>本标准主要起草人：</w:t>
      </w:r>
      <w:r>
        <w:rPr>
          <w:rFonts w:hint="eastAsia" w:ascii="宋体" w:hAnsi="宋体" w:eastAsia="宋体"/>
          <w:bCs/>
          <w:lang w:val="en-US" w:eastAsia="zh-CN"/>
        </w:rPr>
        <w:t>*</w:t>
      </w:r>
    </w:p>
    <w:bookmarkEnd w:id="3"/>
    <w:p w14:paraId="7C3DF0B1">
      <w:pPr>
        <w:ind w:firstLine="420" w:firstLineChars="200"/>
        <w:rPr>
          <w:rFonts w:hint="eastAsia" w:ascii="宋体" w:hAnsi="宋体" w:eastAsia="宋体"/>
        </w:rPr>
      </w:pPr>
      <w:bookmarkStart w:id="4" w:name="OLE_LINK16"/>
      <w:bookmarkStart w:id="5" w:name="OLE_LINK15"/>
      <w:r>
        <w:rPr>
          <w:rFonts w:hint="eastAsia" w:ascii="宋体" w:hAnsi="宋体" w:eastAsia="宋体" w:cs="宋体"/>
          <w:kern w:val="0"/>
          <w:szCs w:val="21"/>
        </w:rPr>
        <w:t>本文件批准发布后，因个别内容需要进行修改，或者对原文件内容进行增减时，可采用修改单方式修改本文件。</w:t>
      </w:r>
    </w:p>
    <w:bookmarkEnd w:id="4"/>
    <w:bookmarkEnd w:id="5"/>
    <w:p w14:paraId="6F47AE2F">
      <w:pPr>
        <w:ind w:firstLine="420" w:firstLineChars="200"/>
        <w:rPr>
          <w:rFonts w:hint="eastAsia" w:ascii="宋体" w:hAnsi="宋体" w:eastAsia="宋体"/>
        </w:rPr>
      </w:pPr>
      <w:r>
        <w:rPr>
          <w:rFonts w:hint="eastAsia" w:ascii="宋体" w:hAnsi="宋体" w:eastAsia="宋体"/>
        </w:rPr>
        <w:t>本文件为首次制定。</w:t>
      </w:r>
    </w:p>
    <w:p w14:paraId="2BF232E4">
      <w:pPr>
        <w:rPr>
          <w:rFonts w:hint="eastAsia"/>
        </w:rPr>
      </w:pPr>
    </w:p>
    <w:p w14:paraId="05972B60">
      <w:pPr>
        <w:rPr>
          <w:rFonts w:hint="eastAsia"/>
        </w:rPr>
        <w:sectPr>
          <w:pgSz w:w="11906" w:h="16838"/>
          <w:pgMar w:top="1440" w:right="1800" w:bottom="1440" w:left="1800" w:header="851" w:footer="992" w:gutter="0"/>
          <w:cols w:space="425" w:num="1"/>
          <w:docGrid w:type="lines" w:linePitch="312" w:charSpace="0"/>
        </w:sectPr>
      </w:pPr>
    </w:p>
    <w:p w14:paraId="1367AD7C">
      <w:pPr>
        <w:widowControl/>
        <w:ind w:firstLine="960" w:firstLineChars="300"/>
        <w:jc w:val="left"/>
        <w:rPr>
          <w:rFonts w:hint="eastAsia" w:ascii="黑体" w:hAnsi="黑体" w:eastAsia="黑体" w:cs="黑体"/>
          <w:kern w:val="0"/>
          <w:sz w:val="32"/>
          <w:szCs w:val="32"/>
        </w:rPr>
      </w:pPr>
      <w:r>
        <w:rPr>
          <w:rFonts w:hint="eastAsia" w:ascii="黑体" w:hAnsi="黑体" w:eastAsia="黑体" w:cs="黑体"/>
          <w:kern w:val="0"/>
          <w:sz w:val="32"/>
          <w:szCs w:val="32"/>
        </w:rPr>
        <w:t>绿色食品 新疆地区露地鲜食葡萄生产操作规程</w:t>
      </w:r>
    </w:p>
    <w:p w14:paraId="0B773CF3">
      <w:pPr>
        <w:pStyle w:val="31"/>
        <w:numPr>
          <w:ilvl w:val="0"/>
          <w:numId w:val="1"/>
        </w:numPr>
        <w:spacing w:before="312" w:after="312"/>
      </w:pPr>
      <w:bookmarkStart w:id="6" w:name="_Hlk224911048"/>
      <w:r>
        <w:rPr>
          <w:rFonts w:hint="eastAsia"/>
        </w:rPr>
        <w:t>范围</w:t>
      </w:r>
    </w:p>
    <w:p w14:paraId="2C6D2A01">
      <w:pPr>
        <w:ind w:firstLine="420" w:firstLineChars="200"/>
        <w:rPr>
          <w:rFonts w:hint="eastAsia" w:ascii="宋体" w:hAnsi="宋体" w:eastAsia="宋体" w:cs="仿宋"/>
          <w:bCs/>
          <w:szCs w:val="21"/>
        </w:rPr>
      </w:pPr>
      <w:bookmarkStart w:id="7" w:name="_Hlk172796474"/>
      <w:r>
        <w:rPr>
          <w:rFonts w:hint="eastAsia" w:ascii="宋体" w:hAnsi="宋体" w:eastAsia="宋体" w:cs="仿宋"/>
          <w:bCs/>
          <w:szCs w:val="21"/>
        </w:rPr>
        <w:t>本文件规定了新疆绿色食品露地鲜食葡萄栽培的产地环境、品种选择、建园、定植、树体管理、花果管理、土水肥管理、病虫害防治、采收、分级与包装、生产废弃物处理、储藏保鲜、埋土防寒、出土、生产档案管理等技术要求。</w:t>
      </w:r>
    </w:p>
    <w:p w14:paraId="7869F404">
      <w:pPr>
        <w:ind w:firstLine="420" w:firstLineChars="200"/>
        <w:rPr>
          <w:rFonts w:hint="eastAsia" w:ascii="宋体" w:hAnsi="宋体" w:eastAsia="宋体" w:cs="仿宋_GB2312"/>
          <w:bCs/>
          <w:szCs w:val="21"/>
        </w:rPr>
      </w:pPr>
      <w:r>
        <w:rPr>
          <w:rFonts w:hint="eastAsia" w:ascii="宋体" w:hAnsi="宋体" w:eastAsia="宋体" w:cs="仿宋"/>
          <w:bCs/>
          <w:szCs w:val="21"/>
        </w:rPr>
        <w:t>本文件适用于新疆地区绿色食品露地鲜食葡萄栽培生产。</w:t>
      </w:r>
    </w:p>
    <w:bookmarkEnd w:id="6"/>
    <w:bookmarkEnd w:id="7"/>
    <w:p w14:paraId="423E3D81">
      <w:pPr>
        <w:pStyle w:val="31"/>
        <w:numPr>
          <w:ilvl w:val="0"/>
          <w:numId w:val="1"/>
        </w:numPr>
        <w:spacing w:before="312" w:after="312"/>
      </w:pPr>
      <w:r>
        <w:rPr>
          <w:rFonts w:hint="eastAsia"/>
        </w:rPr>
        <w:t>规范性引用文件</w:t>
      </w:r>
    </w:p>
    <w:p w14:paraId="68CA6004">
      <w:pPr>
        <w:pStyle w:val="32"/>
        <w:ind w:firstLine="420"/>
        <w:rPr>
          <w:rFonts w:hAnsi="宋体" w:cs="仿宋"/>
          <w:bCs/>
          <w:szCs w:val="21"/>
        </w:rPr>
      </w:pPr>
      <w:sdt>
        <w:sdtPr>
          <w:tag w:val="StandNameFile"/>
          <w:id w:val="147452692"/>
          <w:placeholder>
            <w:docPart w:val="BB8A8EDF21F74C1FBAC0286AFD73E5CC"/>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Content>
          <w: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7090E1B4">
      <w:pPr>
        <w:ind w:firstLine="420"/>
        <w:rPr>
          <w:rFonts w:hint="eastAsia" w:ascii="宋体" w:hAnsi="宋体" w:eastAsia="宋体" w:cs="仿宋"/>
          <w:bCs/>
          <w:szCs w:val="21"/>
        </w:rPr>
      </w:pPr>
      <w:bookmarkStart w:id="8" w:name="_Hlk224911090"/>
      <w:r>
        <w:rPr>
          <w:rFonts w:ascii="宋体" w:hAnsi="宋体" w:eastAsia="宋体" w:cs="仿宋"/>
          <w:bCs/>
          <w:szCs w:val="21"/>
        </w:rPr>
        <w:t xml:space="preserve">NY/T 391  </w:t>
      </w:r>
      <w:r>
        <w:rPr>
          <w:rFonts w:hint="eastAsia" w:ascii="宋体" w:hAnsi="宋体" w:eastAsia="宋体" w:cs="仿宋"/>
          <w:bCs/>
          <w:szCs w:val="21"/>
        </w:rPr>
        <w:tab/>
      </w:r>
      <w:r>
        <w:rPr>
          <w:rFonts w:ascii="宋体" w:hAnsi="宋体" w:eastAsia="宋体" w:cs="仿宋"/>
          <w:bCs/>
          <w:szCs w:val="21"/>
        </w:rPr>
        <w:t>绿色食品产地环境质量</w:t>
      </w:r>
    </w:p>
    <w:p w14:paraId="012FAAE9">
      <w:pPr>
        <w:ind w:firstLine="420"/>
        <w:rPr>
          <w:rFonts w:hint="eastAsia" w:ascii="宋体" w:hAnsi="宋体" w:eastAsia="宋体" w:cs="仿宋"/>
          <w:bCs/>
          <w:szCs w:val="21"/>
        </w:rPr>
      </w:pPr>
      <w:r>
        <w:rPr>
          <w:rFonts w:ascii="宋体" w:hAnsi="宋体" w:eastAsia="宋体" w:cs="仿宋"/>
          <w:bCs/>
          <w:szCs w:val="21"/>
        </w:rPr>
        <w:t xml:space="preserve">NY/T 393  </w:t>
      </w:r>
      <w:r>
        <w:rPr>
          <w:rFonts w:hint="eastAsia" w:ascii="宋体" w:hAnsi="宋体" w:eastAsia="宋体" w:cs="仿宋"/>
          <w:bCs/>
          <w:szCs w:val="21"/>
        </w:rPr>
        <w:tab/>
      </w:r>
      <w:r>
        <w:rPr>
          <w:rFonts w:ascii="宋体" w:hAnsi="宋体" w:eastAsia="宋体" w:cs="仿宋"/>
          <w:bCs/>
          <w:szCs w:val="21"/>
        </w:rPr>
        <w:t>绿色食品农药使用准则</w:t>
      </w:r>
    </w:p>
    <w:p w14:paraId="1CBC4B25">
      <w:pPr>
        <w:ind w:firstLine="420"/>
        <w:rPr>
          <w:rFonts w:hint="eastAsia" w:ascii="宋体" w:hAnsi="宋体" w:eastAsia="宋体" w:cs="仿宋"/>
          <w:bCs/>
          <w:szCs w:val="21"/>
        </w:rPr>
      </w:pPr>
      <w:r>
        <w:rPr>
          <w:rFonts w:ascii="宋体" w:hAnsi="宋体" w:eastAsia="宋体" w:cs="仿宋"/>
          <w:bCs/>
          <w:szCs w:val="21"/>
        </w:rPr>
        <w:t xml:space="preserve">NY/T 394  </w:t>
      </w:r>
      <w:r>
        <w:rPr>
          <w:rFonts w:hint="eastAsia" w:ascii="宋体" w:hAnsi="宋体" w:eastAsia="宋体" w:cs="仿宋"/>
          <w:bCs/>
          <w:szCs w:val="21"/>
        </w:rPr>
        <w:tab/>
      </w:r>
      <w:r>
        <w:rPr>
          <w:rFonts w:ascii="宋体" w:hAnsi="宋体" w:eastAsia="宋体" w:cs="仿宋"/>
          <w:bCs/>
          <w:szCs w:val="21"/>
        </w:rPr>
        <w:t>绿色食品肥料使用准则</w:t>
      </w:r>
    </w:p>
    <w:p w14:paraId="2DD02255">
      <w:pPr>
        <w:ind w:firstLine="420"/>
        <w:rPr>
          <w:rFonts w:hint="eastAsia" w:ascii="宋体" w:hAnsi="宋体" w:eastAsia="宋体" w:cs="仿宋"/>
          <w:bCs/>
          <w:szCs w:val="21"/>
        </w:rPr>
      </w:pPr>
      <w:r>
        <w:rPr>
          <w:rFonts w:ascii="宋体" w:hAnsi="宋体" w:eastAsia="宋体" w:cs="仿宋"/>
          <w:bCs/>
          <w:szCs w:val="21"/>
        </w:rPr>
        <w:t>NY/T</w:t>
      </w:r>
      <w:r>
        <w:rPr>
          <w:rFonts w:hint="eastAsia" w:ascii="宋体" w:hAnsi="宋体" w:eastAsia="宋体" w:cs="仿宋"/>
          <w:bCs/>
          <w:szCs w:val="21"/>
        </w:rPr>
        <w:t xml:space="preserve"> </w:t>
      </w:r>
      <w:r>
        <w:rPr>
          <w:rFonts w:ascii="宋体" w:hAnsi="宋体" w:eastAsia="宋体" w:cs="仿宋"/>
          <w:bCs/>
          <w:szCs w:val="21"/>
        </w:rPr>
        <w:t xml:space="preserve">658 </w:t>
      </w:r>
      <w:r>
        <w:rPr>
          <w:rFonts w:hint="eastAsia" w:ascii="宋体" w:hAnsi="宋体" w:eastAsia="宋体" w:cs="仿宋"/>
          <w:bCs/>
          <w:szCs w:val="21"/>
        </w:rPr>
        <w:tab/>
      </w:r>
      <w:r>
        <w:rPr>
          <w:rFonts w:ascii="宋体" w:hAnsi="宋体" w:eastAsia="宋体" w:cs="仿宋"/>
          <w:bCs/>
          <w:szCs w:val="21"/>
        </w:rPr>
        <w:t>绿色食品包装通用准则</w:t>
      </w:r>
    </w:p>
    <w:p w14:paraId="24C1D7B2">
      <w:pPr>
        <w:ind w:firstLine="420"/>
        <w:rPr>
          <w:rFonts w:hint="eastAsia" w:ascii="宋体" w:hAnsi="宋体" w:eastAsia="宋体" w:cs="仿宋"/>
          <w:bCs/>
          <w:szCs w:val="21"/>
        </w:rPr>
      </w:pPr>
      <w:r>
        <w:rPr>
          <w:rFonts w:ascii="宋体" w:hAnsi="宋体" w:eastAsia="宋体" w:cs="仿宋"/>
          <w:bCs/>
          <w:szCs w:val="21"/>
        </w:rPr>
        <w:t>NY/T</w:t>
      </w:r>
      <w:r>
        <w:rPr>
          <w:rFonts w:hint="eastAsia" w:ascii="宋体" w:hAnsi="宋体" w:eastAsia="宋体" w:cs="仿宋"/>
          <w:bCs/>
          <w:szCs w:val="21"/>
        </w:rPr>
        <w:t xml:space="preserve"> </w:t>
      </w:r>
      <w:r>
        <w:rPr>
          <w:rFonts w:ascii="宋体" w:hAnsi="宋体" w:eastAsia="宋体" w:cs="仿宋"/>
          <w:bCs/>
          <w:szCs w:val="21"/>
        </w:rPr>
        <w:t xml:space="preserve">1056 </w:t>
      </w:r>
      <w:r>
        <w:rPr>
          <w:rFonts w:hint="eastAsia" w:ascii="宋体" w:hAnsi="宋体" w:eastAsia="宋体" w:cs="仿宋"/>
          <w:bCs/>
          <w:szCs w:val="21"/>
        </w:rPr>
        <w:tab/>
      </w:r>
      <w:r>
        <w:rPr>
          <w:rFonts w:ascii="宋体" w:hAnsi="宋体" w:eastAsia="宋体" w:cs="仿宋"/>
          <w:bCs/>
          <w:szCs w:val="21"/>
        </w:rPr>
        <w:t>绿色食品</w:t>
      </w:r>
      <w:r>
        <w:rPr>
          <w:rFonts w:hint="eastAsia" w:ascii="宋体" w:hAnsi="宋体" w:eastAsia="宋体" w:cs="仿宋"/>
          <w:bCs/>
          <w:szCs w:val="21"/>
        </w:rPr>
        <w:t>储藏</w:t>
      </w:r>
      <w:r>
        <w:rPr>
          <w:rFonts w:ascii="宋体" w:hAnsi="宋体" w:eastAsia="宋体" w:cs="仿宋"/>
          <w:bCs/>
          <w:szCs w:val="21"/>
        </w:rPr>
        <w:t>运输准则</w:t>
      </w:r>
    </w:p>
    <w:bookmarkEnd w:id="8"/>
    <w:p w14:paraId="602A6772">
      <w:pPr>
        <w:pStyle w:val="31"/>
        <w:numPr>
          <w:ilvl w:val="0"/>
          <w:numId w:val="1"/>
        </w:numPr>
        <w:spacing w:before="312" w:after="312"/>
      </w:pPr>
      <w:r>
        <w:rPr>
          <w:rFonts w:hint="eastAsia"/>
        </w:rPr>
        <w:t>产地环境</w:t>
      </w:r>
      <w:bookmarkStart w:id="9" w:name="OLE_LINK17"/>
    </w:p>
    <w:bookmarkEnd w:id="9"/>
    <w:p w14:paraId="2B34ACA0">
      <w:pPr>
        <w:ind w:firstLine="420" w:firstLineChars="200"/>
        <w:rPr>
          <w:rFonts w:hint="eastAsia" w:ascii="宋体" w:hAnsi="宋体" w:eastAsia="宋体" w:cs="仿宋"/>
          <w:bCs/>
          <w:szCs w:val="21"/>
        </w:rPr>
      </w:pPr>
      <w:r>
        <w:rPr>
          <w:rFonts w:hint="eastAsia" w:ascii="宋体" w:hAnsi="宋体" w:eastAsia="宋体" w:cs="仿宋"/>
          <w:bCs/>
          <w:szCs w:val="21"/>
        </w:rPr>
        <w:t>产地应选择在无污染、生态环境良好的农业生产区域，生长环境、空气质量、灌溉水质量、土壤质量应符合NY/T 391的规定。</w:t>
      </w:r>
    </w:p>
    <w:p w14:paraId="403D50AF">
      <w:pPr>
        <w:pStyle w:val="31"/>
        <w:numPr>
          <w:ilvl w:val="0"/>
          <w:numId w:val="1"/>
        </w:numPr>
        <w:spacing w:before="312" w:after="312"/>
      </w:pPr>
      <w:bookmarkStart w:id="10" w:name="_Hlk172796677"/>
      <w:r>
        <w:rPr>
          <w:rFonts w:hint="eastAsia"/>
        </w:rPr>
        <w:t>品种选择</w:t>
      </w:r>
    </w:p>
    <w:p w14:paraId="14412942">
      <w:pPr>
        <w:ind w:firstLine="420" w:firstLineChars="200"/>
        <w:rPr>
          <w:rFonts w:hint="eastAsia" w:ascii="宋体" w:hAnsi="宋体" w:eastAsia="宋体" w:cs="宋体"/>
          <w:szCs w:val="21"/>
        </w:rPr>
      </w:pPr>
      <w:r>
        <w:rPr>
          <w:rFonts w:hint="eastAsia" w:ascii="宋体" w:hAnsi="宋体" w:eastAsia="宋体" w:cs="宋体"/>
          <w:szCs w:val="21"/>
        </w:rPr>
        <w:t>根据果园的不同目的及当地消费者的喜爱，选用不同的品种嫁接苗，早熟品种有弗雷无核、夏黑无核、维多利亚等；中熟品种有巨峰、无核白鸡心、汤普逊无核等；晚熟品种有红地球、克瑞森无核、阳光玫瑰等优良品种。砧木可选择贝达、5BB、SO4等适于新疆的优良品种。</w:t>
      </w:r>
    </w:p>
    <w:p w14:paraId="2144CCFE">
      <w:pPr>
        <w:ind w:firstLine="420" w:firstLineChars="200"/>
        <w:rPr>
          <w:rFonts w:hint="eastAsia" w:ascii="宋体" w:hAnsi="宋体" w:eastAsia="宋体" w:cs="宋体"/>
          <w:szCs w:val="21"/>
        </w:rPr>
      </w:pPr>
    </w:p>
    <w:p w14:paraId="22D88333">
      <w:pPr>
        <w:rPr>
          <w:rFonts w:hint="eastAsia" w:ascii="黑体" w:hAnsi="黑体" w:eastAsia="黑体" w:cs="黑体"/>
          <w:bCs/>
          <w:szCs w:val="21"/>
        </w:rPr>
      </w:pPr>
      <w:r>
        <w:rPr>
          <w:rFonts w:hint="eastAsia" w:ascii="黑体" w:hAnsi="黑体" w:eastAsia="黑体" w:cs="黑体"/>
          <w:bCs/>
          <w:szCs w:val="21"/>
        </w:rPr>
        <w:t>5   建园</w:t>
      </w:r>
    </w:p>
    <w:p w14:paraId="2690B35E">
      <w:pPr>
        <w:rPr>
          <w:rFonts w:hint="eastAsia" w:ascii="黑体" w:hAnsi="黑体" w:eastAsia="黑体" w:cs="黑体"/>
          <w:bCs/>
          <w:szCs w:val="21"/>
        </w:rPr>
      </w:pPr>
    </w:p>
    <w:p w14:paraId="672DF42C">
      <w:pPr>
        <w:rPr>
          <w:rFonts w:hint="eastAsia" w:ascii="黑体" w:hAnsi="黑体" w:eastAsia="黑体" w:cs="黑体"/>
          <w:bCs/>
          <w:szCs w:val="21"/>
        </w:rPr>
      </w:pPr>
      <w:r>
        <w:rPr>
          <w:rFonts w:hint="eastAsia" w:ascii="黑体" w:hAnsi="黑体" w:eastAsia="黑体" w:cs="黑体"/>
          <w:bCs/>
          <w:szCs w:val="21"/>
        </w:rPr>
        <w:t>5.1 园地选择与规划</w:t>
      </w:r>
    </w:p>
    <w:p w14:paraId="68FD221C">
      <w:pPr>
        <w:rPr>
          <w:rFonts w:hint="eastAsia" w:ascii="黑体" w:hAnsi="黑体" w:eastAsia="黑体" w:cs="黑体"/>
          <w:bCs/>
          <w:szCs w:val="21"/>
        </w:rPr>
      </w:pPr>
      <w:r>
        <w:rPr>
          <w:rFonts w:hint="eastAsia" w:ascii="黑体" w:hAnsi="黑体" w:eastAsia="黑体" w:cs="黑体"/>
          <w:bCs/>
          <w:szCs w:val="21"/>
        </w:rPr>
        <w:t>5.1.1 园地选择</w:t>
      </w:r>
    </w:p>
    <w:p w14:paraId="52127C1D">
      <w:pPr>
        <w:ind w:firstLine="420" w:firstLineChars="200"/>
        <w:rPr>
          <w:rFonts w:hint="eastAsia" w:ascii="宋体" w:hAnsi="宋体" w:eastAsia="宋体" w:cs="宋体"/>
          <w:szCs w:val="21"/>
        </w:rPr>
      </w:pPr>
      <w:r>
        <w:rPr>
          <w:rFonts w:hint="eastAsia" w:ascii="宋体" w:hAnsi="宋体" w:eastAsia="宋体" w:cs="宋体"/>
          <w:szCs w:val="21"/>
        </w:rPr>
        <w:t>以SO</w:t>
      </w:r>
      <w:r>
        <w:rPr>
          <w:rFonts w:hint="eastAsia" w:ascii="宋体" w:hAnsi="宋体" w:eastAsia="宋体" w:cs="宋体"/>
          <w:szCs w:val="21"/>
          <w:vertAlign w:val="subscript"/>
        </w:rPr>
        <w:t>4</w:t>
      </w:r>
      <w:r>
        <w:rPr>
          <w:rFonts w:hint="eastAsia" w:ascii="宋体" w:hAnsi="宋体" w:eastAsia="宋体" w:cs="宋体"/>
          <w:szCs w:val="21"/>
          <w:vertAlign w:val="superscript"/>
        </w:rPr>
        <w:t>2-</w:t>
      </w:r>
      <w:r>
        <w:rPr>
          <w:rFonts w:hint="eastAsia" w:ascii="宋体" w:hAnsi="宋体" w:eastAsia="宋体" w:cs="宋体"/>
          <w:szCs w:val="21"/>
        </w:rPr>
        <w:t>、CL</w:t>
      </w:r>
      <w:r>
        <w:rPr>
          <w:rFonts w:hint="eastAsia" w:ascii="宋体" w:hAnsi="宋体" w:eastAsia="宋体" w:cs="宋体"/>
          <w:szCs w:val="21"/>
          <w:vertAlign w:val="superscript"/>
        </w:rPr>
        <w:t>-</w:t>
      </w:r>
      <w:r>
        <w:rPr>
          <w:rFonts w:hint="eastAsia" w:ascii="宋体" w:hAnsi="宋体" w:eastAsia="宋体" w:cs="宋体"/>
          <w:szCs w:val="21"/>
        </w:rPr>
        <w:t>等盐离子浓度＜3‰、pH 5.8～8.0、土质疏松、通气良好的砾质壤土和砂壤土，地下水位≤1.5米为宜。年日照时数2000小时以上；有效积温2200℃～3300℃；无霜期120天以上；年降水量≤800mm，采前一个月内的降雨量≤50mm。</w:t>
      </w:r>
    </w:p>
    <w:p w14:paraId="2A304C9D">
      <w:pPr>
        <w:rPr>
          <w:rFonts w:hint="eastAsia" w:ascii="黑体" w:hAnsi="黑体" w:eastAsia="黑体" w:cs="黑体"/>
          <w:bCs/>
          <w:szCs w:val="21"/>
        </w:rPr>
      </w:pPr>
      <w:r>
        <w:rPr>
          <w:rFonts w:hint="eastAsia" w:ascii="黑体" w:hAnsi="黑体" w:eastAsia="黑体" w:cs="黑体"/>
          <w:bCs/>
          <w:szCs w:val="21"/>
        </w:rPr>
        <w:t>5.1.2 园地规划</w:t>
      </w:r>
    </w:p>
    <w:p w14:paraId="19F7E1FA">
      <w:pPr>
        <w:ind w:firstLine="420" w:firstLineChars="200"/>
        <w:rPr>
          <w:rFonts w:hint="eastAsia" w:ascii="宋体" w:hAnsi="宋体" w:eastAsia="宋体" w:cs="宋体"/>
          <w:szCs w:val="21"/>
        </w:rPr>
      </w:pPr>
      <w:r>
        <w:rPr>
          <w:rFonts w:hint="eastAsia" w:ascii="宋体" w:hAnsi="宋体" w:eastAsia="宋体" w:cs="宋体"/>
          <w:szCs w:val="21"/>
        </w:rPr>
        <w:t>一般大区为100～120亩，多风区以45～50亩一个小区为宜。大区间主干道8m～10m宽，外与公路相接，内与支路（宽4m左右）相连，支路与主路垂直。道路两侧设置灌水渠。主林带由5～6行乔木构成，主林带之间相距300m～500m，副林带有2～3行乔灌木构成，副林带之间相距150m～200m，树种以杨树为主，禁用白蜡和榆树。</w:t>
      </w:r>
    </w:p>
    <w:p w14:paraId="55A4FD79">
      <w:pPr>
        <w:rPr>
          <w:rFonts w:hint="eastAsia" w:ascii="黑体" w:hAnsi="黑体" w:eastAsia="黑体" w:cs="黑体"/>
          <w:bCs/>
          <w:szCs w:val="21"/>
        </w:rPr>
      </w:pPr>
      <w:r>
        <w:rPr>
          <w:rFonts w:hint="eastAsia" w:ascii="黑体" w:hAnsi="黑体" w:eastAsia="黑体" w:cs="黑体"/>
          <w:bCs/>
          <w:szCs w:val="21"/>
        </w:rPr>
        <w:t>5.2 架式</w:t>
      </w:r>
    </w:p>
    <w:p w14:paraId="359CFA00">
      <w:pPr>
        <w:rPr>
          <w:rFonts w:hint="eastAsia" w:ascii="黑体" w:hAnsi="黑体" w:eastAsia="黑体" w:cs="黑体"/>
          <w:bCs/>
          <w:szCs w:val="21"/>
        </w:rPr>
      </w:pPr>
      <w:r>
        <w:rPr>
          <w:rFonts w:hint="eastAsia" w:ascii="黑体" w:hAnsi="黑体" w:eastAsia="黑体" w:cs="黑体"/>
          <w:bCs/>
          <w:szCs w:val="21"/>
        </w:rPr>
        <w:t>5.2.1 架式与株行距</w:t>
      </w:r>
    </w:p>
    <w:p w14:paraId="622FB32E">
      <w:pPr>
        <w:ind w:firstLine="420" w:firstLineChars="200"/>
        <w:rPr>
          <w:rFonts w:hint="eastAsia" w:ascii="宋体" w:hAnsi="宋体" w:eastAsia="宋体" w:cs="宋体"/>
          <w:szCs w:val="21"/>
        </w:rPr>
      </w:pPr>
      <w:r>
        <w:rPr>
          <w:rFonts w:hint="eastAsia" w:ascii="宋体" w:hAnsi="宋体" w:eastAsia="宋体" w:cs="宋体"/>
          <w:szCs w:val="21"/>
        </w:rPr>
        <w:t>可采用350cm～400cm的行距，株距为100cm的水平小棚架架式或者行距350cm,株距200cm的厂形独龙干架势，树形采用留一条蔓的独龙干整形法。</w:t>
      </w:r>
    </w:p>
    <w:p w14:paraId="5AF9DC1A">
      <w:pPr>
        <w:rPr>
          <w:rFonts w:hint="eastAsia" w:ascii="黑体" w:hAnsi="黑体" w:eastAsia="黑体" w:cs="黑体"/>
          <w:bCs/>
          <w:szCs w:val="21"/>
        </w:rPr>
      </w:pPr>
      <w:r>
        <w:rPr>
          <w:rFonts w:hint="eastAsia" w:ascii="黑体" w:hAnsi="黑体" w:eastAsia="黑体" w:cs="黑体"/>
          <w:bCs/>
          <w:szCs w:val="21"/>
        </w:rPr>
        <w:t>5.2.2 架式的方向</w:t>
      </w:r>
    </w:p>
    <w:p w14:paraId="3E7DBCF8">
      <w:pPr>
        <w:ind w:firstLine="420" w:firstLineChars="200"/>
        <w:rPr>
          <w:rFonts w:hint="eastAsia" w:ascii="宋体" w:hAnsi="宋体" w:eastAsia="宋体" w:cs="宋体"/>
          <w:szCs w:val="21"/>
        </w:rPr>
      </w:pPr>
      <w:r>
        <w:rPr>
          <w:rFonts w:hint="eastAsia" w:ascii="宋体" w:hAnsi="宋体" w:eastAsia="宋体" w:cs="宋体"/>
          <w:szCs w:val="21"/>
        </w:rPr>
        <w:t>沟灌果园以东西向为主，架面坐北朝南；滴管园以滴灌管带走向为葡萄架式方向。</w:t>
      </w:r>
    </w:p>
    <w:p w14:paraId="78C742AB">
      <w:pPr>
        <w:rPr>
          <w:rFonts w:hint="eastAsia" w:ascii="黑体" w:hAnsi="黑体" w:eastAsia="黑体" w:cs="黑体"/>
          <w:bCs/>
          <w:szCs w:val="21"/>
        </w:rPr>
      </w:pPr>
      <w:r>
        <w:rPr>
          <w:rFonts w:hint="eastAsia" w:ascii="黑体" w:hAnsi="黑体" w:eastAsia="黑体" w:cs="黑体"/>
          <w:bCs/>
          <w:szCs w:val="21"/>
        </w:rPr>
        <w:t>5.2.3 葡萄架式结构</w:t>
      </w:r>
    </w:p>
    <w:p w14:paraId="0F558C64">
      <w:pPr>
        <w:ind w:firstLine="420" w:firstLineChars="200"/>
        <w:rPr>
          <w:rFonts w:hint="eastAsia" w:ascii="宋体" w:hAnsi="宋体" w:eastAsia="宋体" w:cs="宋体"/>
          <w:szCs w:val="21"/>
        </w:rPr>
      </w:pPr>
      <w:r>
        <w:rPr>
          <w:rFonts w:hint="eastAsia" w:ascii="宋体" w:hAnsi="宋体" w:eastAsia="宋体" w:cs="宋体"/>
          <w:szCs w:val="21"/>
        </w:rPr>
        <w:t>葡萄架的结构为水平连棚架，架高2m，架柱采用水泥柱，水泥柱规格：260cm×10cm×12cm，预制内设钢筋(Φ6mm)2～3根，埋入土中60cm，露出地面200cm，距定植行30m处每隔500cm栽一根立柱，架的四边用2号铁丝作架梁，并用锚石固定，顺向纵向距地面90cm处设第一道铁丝，间隔80cm设第二道铁丝。</w:t>
      </w:r>
    </w:p>
    <w:p w14:paraId="5FF78BF4">
      <w:pPr>
        <w:rPr>
          <w:rFonts w:hint="eastAsia" w:ascii="黑体" w:hAnsi="黑体" w:eastAsia="黑体" w:cs="黑体"/>
          <w:bCs/>
          <w:szCs w:val="21"/>
        </w:rPr>
      </w:pPr>
      <w:r>
        <w:rPr>
          <w:rFonts w:hint="eastAsia" w:ascii="黑体" w:hAnsi="黑体" w:eastAsia="黑体" w:cs="黑体"/>
          <w:bCs/>
          <w:szCs w:val="21"/>
        </w:rPr>
        <w:t>5.2.3.1 小棚架架面结构</w:t>
      </w:r>
    </w:p>
    <w:p w14:paraId="36C0EF40">
      <w:pPr>
        <w:ind w:firstLine="420" w:firstLineChars="200"/>
        <w:rPr>
          <w:rFonts w:hint="eastAsia" w:ascii="宋体" w:hAnsi="宋体" w:eastAsia="宋体" w:cs="宋体"/>
          <w:szCs w:val="21"/>
        </w:rPr>
      </w:pPr>
      <w:r>
        <w:rPr>
          <w:rFonts w:hint="eastAsia" w:ascii="宋体" w:hAnsi="宋体" w:eastAsia="宋体" w:cs="宋体"/>
          <w:szCs w:val="21"/>
        </w:rPr>
        <w:t>水平架面上设3道铁丝，第一、第二、第三道铁丝间距分别是30cm、40cm、60cm。</w:t>
      </w:r>
    </w:p>
    <w:p w14:paraId="22A73B66">
      <w:pPr>
        <w:rPr>
          <w:rFonts w:hint="eastAsia" w:ascii="黑体" w:hAnsi="黑体" w:eastAsia="黑体" w:cs="黑体"/>
          <w:bCs/>
          <w:szCs w:val="21"/>
        </w:rPr>
      </w:pPr>
      <w:r>
        <w:rPr>
          <w:rFonts w:hint="eastAsia" w:ascii="黑体" w:hAnsi="黑体" w:eastAsia="黑体" w:cs="黑体"/>
          <w:bCs/>
          <w:szCs w:val="21"/>
        </w:rPr>
        <w:t>5.2.3.2 小棚架架面结构</w:t>
      </w:r>
    </w:p>
    <w:p w14:paraId="049E8708">
      <w:pPr>
        <w:ind w:firstLine="420" w:firstLineChars="200"/>
        <w:rPr>
          <w:rFonts w:hint="eastAsia" w:ascii="宋体" w:hAnsi="宋体" w:eastAsia="宋体" w:cs="宋体"/>
          <w:szCs w:val="21"/>
        </w:rPr>
      </w:pPr>
      <w:r>
        <w:rPr>
          <w:rFonts w:hint="eastAsia" w:ascii="宋体" w:hAnsi="宋体" w:eastAsia="宋体" w:cs="宋体"/>
          <w:szCs w:val="21"/>
        </w:rPr>
        <w:t>水平架面两侧各设3道铁丝，第一、第二、第三道铁丝间距分别是30cm、40cm、60cm。</w:t>
      </w:r>
    </w:p>
    <w:p w14:paraId="216EA1DE">
      <w:pPr>
        <w:rPr>
          <w:rFonts w:hint="eastAsia" w:ascii="黑体" w:hAnsi="黑体" w:eastAsia="黑体" w:cs="黑体"/>
          <w:bCs/>
          <w:szCs w:val="21"/>
        </w:rPr>
      </w:pPr>
    </w:p>
    <w:p w14:paraId="5F5661E1">
      <w:pPr>
        <w:rPr>
          <w:rFonts w:hint="eastAsia" w:ascii="黑体" w:hAnsi="黑体" w:eastAsia="黑体" w:cs="黑体"/>
          <w:bCs/>
          <w:szCs w:val="21"/>
        </w:rPr>
      </w:pPr>
      <w:r>
        <w:rPr>
          <w:rFonts w:hint="eastAsia" w:ascii="黑体" w:hAnsi="黑体" w:eastAsia="黑体" w:cs="黑体"/>
          <w:bCs/>
          <w:szCs w:val="21"/>
        </w:rPr>
        <w:t>6    定植</w:t>
      </w:r>
    </w:p>
    <w:p w14:paraId="0AAAF6F6">
      <w:pPr>
        <w:rPr>
          <w:rFonts w:hint="eastAsia" w:ascii="黑体" w:hAnsi="黑体" w:eastAsia="黑体" w:cs="黑体"/>
          <w:bCs/>
          <w:szCs w:val="21"/>
        </w:rPr>
      </w:pPr>
    </w:p>
    <w:p w14:paraId="50AF029D">
      <w:pPr>
        <w:rPr>
          <w:rFonts w:hint="eastAsia" w:ascii="黑体" w:hAnsi="黑体" w:eastAsia="黑体" w:cs="黑体"/>
          <w:bCs/>
          <w:szCs w:val="21"/>
        </w:rPr>
      </w:pPr>
      <w:r>
        <w:rPr>
          <w:rFonts w:hint="eastAsia" w:ascii="黑体" w:hAnsi="黑体" w:eastAsia="黑体" w:cs="黑体"/>
          <w:bCs/>
          <w:szCs w:val="21"/>
        </w:rPr>
        <w:t>6.1 定植前的准备</w:t>
      </w:r>
    </w:p>
    <w:p w14:paraId="65043087">
      <w:pPr>
        <w:rPr>
          <w:rFonts w:hint="eastAsia" w:ascii="黑体" w:hAnsi="黑体" w:eastAsia="黑体" w:cs="黑体"/>
          <w:bCs/>
          <w:szCs w:val="21"/>
        </w:rPr>
      </w:pPr>
      <w:r>
        <w:rPr>
          <w:rFonts w:hint="eastAsia" w:ascii="黑体" w:hAnsi="黑体" w:eastAsia="黑体" w:cs="黑体"/>
          <w:bCs/>
          <w:szCs w:val="21"/>
        </w:rPr>
        <w:t>6.1.1 测定栽植行</w:t>
      </w:r>
    </w:p>
    <w:p w14:paraId="6CC68FAB">
      <w:pPr>
        <w:ind w:firstLine="420" w:firstLineChars="200"/>
        <w:rPr>
          <w:rFonts w:hint="eastAsia" w:ascii="宋体" w:hAnsi="宋体" w:eastAsia="宋体" w:cs="宋体"/>
          <w:szCs w:val="21"/>
        </w:rPr>
      </w:pPr>
      <w:r>
        <w:rPr>
          <w:rFonts w:hint="eastAsia" w:ascii="宋体" w:hAnsi="宋体" w:eastAsia="宋体" w:cs="宋体"/>
          <w:szCs w:val="21"/>
        </w:rPr>
        <w:t>先测定好栽植行，按350cm～400cm的行距，测定好全部栽植行，用石灰做好标记。</w:t>
      </w:r>
    </w:p>
    <w:p w14:paraId="18829127">
      <w:pPr>
        <w:rPr>
          <w:rFonts w:hint="eastAsia" w:ascii="黑体" w:hAnsi="黑体" w:eastAsia="黑体" w:cs="黑体"/>
          <w:bCs/>
          <w:szCs w:val="21"/>
        </w:rPr>
      </w:pPr>
      <w:r>
        <w:rPr>
          <w:rFonts w:hint="eastAsia" w:ascii="黑体" w:hAnsi="黑体" w:eastAsia="黑体" w:cs="黑体"/>
          <w:bCs/>
          <w:szCs w:val="21"/>
        </w:rPr>
        <w:t>6.1.2 挖栽植沟</w:t>
      </w:r>
    </w:p>
    <w:p w14:paraId="64074CB9">
      <w:pPr>
        <w:ind w:firstLine="420" w:firstLineChars="200"/>
        <w:rPr>
          <w:rFonts w:hint="eastAsia" w:ascii="宋体" w:hAnsi="宋体" w:eastAsia="宋体" w:cs="宋体"/>
          <w:szCs w:val="21"/>
        </w:rPr>
      </w:pPr>
      <w:r>
        <w:rPr>
          <w:rFonts w:hint="eastAsia" w:ascii="宋体" w:hAnsi="宋体" w:eastAsia="宋体" w:cs="宋体"/>
          <w:szCs w:val="21"/>
        </w:rPr>
        <w:t>按测定的栽培行挖宽100cm，深100cm的栽植沟，上层熟土和下层生土分开堆放。</w:t>
      </w:r>
    </w:p>
    <w:p w14:paraId="071740F5">
      <w:pPr>
        <w:rPr>
          <w:rFonts w:hint="eastAsia" w:ascii="黑体" w:hAnsi="黑体" w:eastAsia="黑体" w:cs="黑体"/>
          <w:bCs/>
          <w:szCs w:val="21"/>
        </w:rPr>
      </w:pPr>
      <w:r>
        <w:rPr>
          <w:rFonts w:hint="eastAsia" w:ascii="黑体" w:hAnsi="黑体" w:eastAsia="黑体" w:cs="黑体"/>
          <w:bCs/>
          <w:szCs w:val="21"/>
        </w:rPr>
        <w:t>6.1.3 施基肥和方法</w:t>
      </w:r>
    </w:p>
    <w:p w14:paraId="2223B220">
      <w:pPr>
        <w:ind w:firstLine="420" w:firstLineChars="200"/>
        <w:rPr>
          <w:rFonts w:hint="eastAsia" w:ascii="宋体" w:hAnsi="宋体" w:eastAsia="宋体" w:cs="宋体"/>
          <w:szCs w:val="21"/>
        </w:rPr>
      </w:pPr>
      <w:r>
        <w:rPr>
          <w:rFonts w:hint="eastAsia" w:ascii="宋体" w:hAnsi="宋体" w:eastAsia="宋体" w:cs="宋体"/>
          <w:szCs w:val="21"/>
        </w:rPr>
        <w:t>腐熟羊粪、鸡粪、牛粪、猪粪等，每亩施用3m³，生物有机肥每亩50kg。先将腐熟的有机肥施入沟底，与表土混匀，再回填表土至栽植沟一半处，然后施入生物有机葡萄专用肥或秸秆，最后回填生土至沟深20cm处，灌水后，修整栽植沟，沟底距地面30cm。</w:t>
      </w:r>
    </w:p>
    <w:p w14:paraId="4E75352A">
      <w:pPr>
        <w:rPr>
          <w:rFonts w:hint="eastAsia" w:ascii="黑体" w:hAnsi="黑体" w:eastAsia="黑体" w:cs="黑体"/>
          <w:bCs/>
          <w:szCs w:val="21"/>
        </w:rPr>
      </w:pPr>
      <w:r>
        <w:rPr>
          <w:rFonts w:hint="eastAsia" w:ascii="黑体" w:hAnsi="黑体" w:eastAsia="黑体" w:cs="黑体"/>
          <w:bCs/>
          <w:szCs w:val="21"/>
        </w:rPr>
        <w:t>6.2 定植</w:t>
      </w:r>
    </w:p>
    <w:p w14:paraId="0185674D">
      <w:pPr>
        <w:rPr>
          <w:rFonts w:hint="eastAsia" w:ascii="黑体" w:hAnsi="黑体" w:eastAsia="黑体" w:cs="黑体"/>
          <w:bCs/>
          <w:szCs w:val="21"/>
        </w:rPr>
      </w:pPr>
      <w:r>
        <w:rPr>
          <w:rFonts w:hint="eastAsia" w:ascii="黑体" w:hAnsi="黑体" w:eastAsia="黑体" w:cs="黑体"/>
          <w:bCs/>
          <w:szCs w:val="21"/>
        </w:rPr>
        <w:t>6.2.1 定植时间</w:t>
      </w:r>
    </w:p>
    <w:p w14:paraId="75D89CAF">
      <w:pPr>
        <w:ind w:firstLine="420" w:firstLineChars="200"/>
        <w:rPr>
          <w:rFonts w:hint="eastAsia" w:ascii="宋体" w:hAnsi="宋体" w:eastAsia="宋体" w:cs="宋体"/>
          <w:szCs w:val="21"/>
        </w:rPr>
      </w:pPr>
      <w:r>
        <w:rPr>
          <w:rFonts w:hint="eastAsia" w:ascii="宋体" w:hAnsi="宋体" w:eastAsia="宋体" w:cs="宋体"/>
          <w:szCs w:val="21"/>
        </w:rPr>
        <w:t>当10cm土温稳定在10℃以上时即可栽植。</w:t>
      </w:r>
    </w:p>
    <w:p w14:paraId="11FFC9C2">
      <w:pPr>
        <w:rPr>
          <w:rFonts w:hint="eastAsia" w:ascii="黑体" w:hAnsi="黑体" w:eastAsia="黑体" w:cs="黑体"/>
          <w:bCs/>
          <w:szCs w:val="21"/>
        </w:rPr>
      </w:pPr>
      <w:r>
        <w:rPr>
          <w:rFonts w:hint="eastAsia" w:ascii="黑体" w:hAnsi="黑体" w:eastAsia="黑体" w:cs="黑体"/>
          <w:bCs/>
          <w:szCs w:val="21"/>
        </w:rPr>
        <w:t>6.2.2 苗木准备</w:t>
      </w:r>
    </w:p>
    <w:p w14:paraId="1CEBD0F3">
      <w:pPr>
        <w:rPr>
          <w:rFonts w:hint="eastAsia" w:ascii="黑体" w:hAnsi="黑体" w:eastAsia="黑体" w:cs="黑体"/>
          <w:bCs/>
          <w:szCs w:val="21"/>
        </w:rPr>
      </w:pPr>
      <w:r>
        <w:rPr>
          <w:rFonts w:hint="eastAsia" w:ascii="黑体" w:hAnsi="黑体" w:eastAsia="黑体" w:cs="黑体"/>
          <w:bCs/>
          <w:szCs w:val="21"/>
        </w:rPr>
        <w:t>6.2.3 苗木处理</w:t>
      </w:r>
    </w:p>
    <w:p w14:paraId="1DBBB9F8">
      <w:pPr>
        <w:ind w:firstLine="420" w:firstLineChars="200"/>
        <w:rPr>
          <w:rFonts w:hint="eastAsia" w:ascii="宋体" w:hAnsi="宋体" w:eastAsia="宋体" w:cs="宋体"/>
          <w:szCs w:val="21"/>
        </w:rPr>
      </w:pPr>
      <w:r>
        <w:rPr>
          <w:rFonts w:hint="eastAsia" w:ascii="宋体" w:hAnsi="宋体" w:eastAsia="宋体" w:cs="宋体"/>
          <w:szCs w:val="21"/>
        </w:rPr>
        <w:t>苗木根系在清水中浸泡12小时，将合格的苗木的主根剪去二分之一或三分之一长度，剪去过长、干枯、霉烂根系，露出新鲜白根,再将苗木在50%多菌灵1000倍液里浸泡6h-8h。</w:t>
      </w:r>
    </w:p>
    <w:p w14:paraId="45DA21B4">
      <w:pPr>
        <w:rPr>
          <w:rFonts w:hint="eastAsia" w:ascii="黑体" w:hAnsi="黑体" w:eastAsia="黑体" w:cs="黑体"/>
          <w:bCs/>
          <w:szCs w:val="21"/>
        </w:rPr>
      </w:pPr>
      <w:r>
        <w:rPr>
          <w:rFonts w:hint="eastAsia" w:ascii="黑体" w:hAnsi="黑体" w:eastAsia="黑体" w:cs="黑体"/>
          <w:bCs/>
          <w:szCs w:val="21"/>
        </w:rPr>
        <w:t>6.2.4 栽前处理</w:t>
      </w:r>
    </w:p>
    <w:p w14:paraId="5C4BE296">
      <w:pPr>
        <w:ind w:firstLine="420" w:firstLineChars="200"/>
        <w:rPr>
          <w:rFonts w:hint="eastAsia" w:ascii="宋体" w:hAnsi="宋体" w:eastAsia="宋体" w:cs="宋体"/>
          <w:szCs w:val="21"/>
        </w:rPr>
      </w:pPr>
      <w:r>
        <w:rPr>
          <w:rFonts w:hint="eastAsia" w:ascii="宋体" w:hAnsi="宋体" w:eastAsia="宋体" w:cs="宋体"/>
          <w:szCs w:val="21"/>
        </w:rPr>
        <w:t>处理好的苗木先用清水浸沾、再浸沾黄土和0.3%磷酸二氢钾混合物调匀制成的泥浆。</w:t>
      </w:r>
    </w:p>
    <w:p w14:paraId="6640796B">
      <w:pPr>
        <w:rPr>
          <w:rFonts w:hint="eastAsia" w:ascii="黑体" w:hAnsi="黑体" w:eastAsia="黑体" w:cs="黑体"/>
          <w:bCs/>
          <w:szCs w:val="21"/>
        </w:rPr>
      </w:pPr>
      <w:r>
        <w:rPr>
          <w:rFonts w:hint="eastAsia" w:ascii="黑体" w:hAnsi="黑体" w:eastAsia="黑体" w:cs="黑体"/>
          <w:bCs/>
          <w:szCs w:val="21"/>
        </w:rPr>
        <w:t>6.2.5 栽植方法</w:t>
      </w:r>
    </w:p>
    <w:p w14:paraId="527EF169">
      <w:pPr>
        <w:widowControl/>
        <w:ind w:firstLine="315" w:firstLineChars="150"/>
        <w:rPr>
          <w:rFonts w:hint="eastAsia" w:ascii="仿宋" w:hAnsi="仿宋" w:eastAsia="仿宋" w:cs="Times New Roman"/>
          <w:kern w:val="0"/>
          <w:sz w:val="28"/>
          <w:szCs w:val="28"/>
        </w:rPr>
      </w:pPr>
      <w:r>
        <w:rPr>
          <w:rFonts w:hint="eastAsia" w:ascii="宋体" w:hAnsi="宋体" w:eastAsia="宋体" w:cs="宋体"/>
          <w:szCs w:val="21"/>
        </w:rPr>
        <w:t>挖300cm×300cm×30cm的栽植穴，先将表土填入穴底，在穴底堆成“馒头”状，将苗木理顺根系，培土、轻提苗木顺根踏实，最后将土培出地面踏实。嫁接苗栽植时，应将接穗2cm左右埋入土中。</w:t>
      </w:r>
    </w:p>
    <w:p w14:paraId="6B00266E">
      <w:pPr>
        <w:widowControl/>
        <w:rPr>
          <w:rFonts w:hint="eastAsia" w:ascii="黑体" w:hAnsi="黑体" w:eastAsia="黑体" w:cs="黑体"/>
          <w:bCs/>
          <w:szCs w:val="21"/>
        </w:rPr>
      </w:pPr>
      <w:r>
        <w:rPr>
          <w:rFonts w:hint="eastAsia" w:ascii="黑体" w:hAnsi="黑体" w:eastAsia="黑体" w:cs="黑体"/>
          <w:bCs/>
          <w:szCs w:val="21"/>
        </w:rPr>
        <w:t>6.2.6 浇水</w:t>
      </w:r>
    </w:p>
    <w:p w14:paraId="7FCF2944">
      <w:pPr>
        <w:widowControl/>
        <w:ind w:firstLine="315" w:firstLineChars="150"/>
        <w:rPr>
          <w:rFonts w:hint="eastAsia" w:ascii="宋体" w:hAnsi="宋体" w:eastAsia="宋体" w:cs="宋体"/>
          <w:szCs w:val="21"/>
        </w:rPr>
      </w:pPr>
      <w:r>
        <w:rPr>
          <w:rFonts w:hint="eastAsia" w:ascii="宋体" w:hAnsi="宋体" w:eastAsia="宋体" w:cs="宋体"/>
          <w:szCs w:val="21"/>
        </w:rPr>
        <w:t>栽完立即透水，间隔15天左右再灌一水。</w:t>
      </w:r>
    </w:p>
    <w:p w14:paraId="7D5F7C1C">
      <w:pPr>
        <w:widowControl/>
        <w:rPr>
          <w:rFonts w:hint="eastAsia" w:ascii="黑体" w:hAnsi="黑体" w:eastAsia="黑体" w:cs="黑体"/>
          <w:bCs/>
          <w:szCs w:val="21"/>
        </w:rPr>
      </w:pPr>
    </w:p>
    <w:p w14:paraId="496F17B4">
      <w:pPr>
        <w:widowControl/>
        <w:rPr>
          <w:rFonts w:hint="eastAsia" w:ascii="黑体" w:hAnsi="黑体" w:eastAsia="黑体" w:cs="黑体"/>
          <w:bCs/>
          <w:szCs w:val="21"/>
        </w:rPr>
      </w:pPr>
      <w:r>
        <w:rPr>
          <w:rFonts w:hint="eastAsia" w:ascii="黑体" w:hAnsi="黑体" w:eastAsia="黑体" w:cs="黑体"/>
          <w:bCs/>
          <w:szCs w:val="21"/>
        </w:rPr>
        <w:t>7   树体管理</w:t>
      </w:r>
    </w:p>
    <w:p w14:paraId="7033BBA7">
      <w:pPr>
        <w:widowControl/>
        <w:rPr>
          <w:rFonts w:hint="eastAsia" w:ascii="黑体" w:hAnsi="黑体" w:eastAsia="黑体" w:cs="黑体"/>
          <w:bCs/>
          <w:szCs w:val="21"/>
        </w:rPr>
      </w:pPr>
    </w:p>
    <w:p w14:paraId="45ED33ED">
      <w:pPr>
        <w:widowControl/>
        <w:rPr>
          <w:rFonts w:hint="eastAsia" w:ascii="黑体" w:hAnsi="黑体" w:eastAsia="黑体" w:cs="黑体"/>
          <w:bCs/>
          <w:szCs w:val="21"/>
        </w:rPr>
      </w:pPr>
      <w:r>
        <w:rPr>
          <w:rFonts w:hint="eastAsia" w:ascii="黑体" w:hAnsi="黑体" w:eastAsia="黑体" w:cs="黑体"/>
          <w:bCs/>
          <w:szCs w:val="21"/>
        </w:rPr>
        <w:t>7.1 夏季管理</w:t>
      </w:r>
    </w:p>
    <w:p w14:paraId="37EDD547">
      <w:pPr>
        <w:widowControl/>
        <w:rPr>
          <w:rFonts w:hint="eastAsia" w:ascii="黑体" w:hAnsi="黑体" w:eastAsia="黑体" w:cs="黑体"/>
          <w:bCs/>
          <w:szCs w:val="21"/>
        </w:rPr>
      </w:pPr>
      <w:r>
        <w:rPr>
          <w:rFonts w:hint="eastAsia" w:ascii="黑体" w:hAnsi="黑体" w:eastAsia="黑体" w:cs="黑体"/>
          <w:bCs/>
          <w:szCs w:val="21"/>
        </w:rPr>
        <w:t>7.1.1 上架绑蔓</w:t>
      </w:r>
    </w:p>
    <w:p w14:paraId="3A1BD7E4">
      <w:pPr>
        <w:widowControl/>
        <w:ind w:firstLine="315" w:firstLineChars="150"/>
        <w:rPr>
          <w:rFonts w:hint="eastAsia" w:ascii="宋体" w:hAnsi="宋体" w:eastAsia="宋体" w:cs="宋体"/>
          <w:szCs w:val="21"/>
        </w:rPr>
      </w:pPr>
      <w:r>
        <w:rPr>
          <w:rFonts w:hint="eastAsia" w:ascii="宋体" w:hAnsi="宋体" w:eastAsia="宋体" w:cs="宋体"/>
          <w:szCs w:val="21"/>
        </w:rPr>
        <w:t>葡萄出土后应及时上架捆绑，以免过晚碰掉芽苞，主蔓在架面上要摆均匀，用麻绳或塑料条捆绑牢固。</w:t>
      </w:r>
    </w:p>
    <w:p w14:paraId="59360A29">
      <w:pPr>
        <w:widowControl/>
        <w:rPr>
          <w:rFonts w:hint="eastAsia" w:ascii="黑体" w:hAnsi="黑体" w:eastAsia="黑体" w:cs="黑体"/>
          <w:bCs/>
          <w:szCs w:val="21"/>
        </w:rPr>
      </w:pPr>
      <w:r>
        <w:rPr>
          <w:rFonts w:hint="eastAsia" w:ascii="黑体" w:hAnsi="黑体" w:eastAsia="黑体" w:cs="黑体"/>
          <w:bCs/>
          <w:szCs w:val="21"/>
        </w:rPr>
        <w:t>7.1.2 整理畦面</w:t>
      </w:r>
    </w:p>
    <w:p w14:paraId="0930B9EA">
      <w:pPr>
        <w:widowControl/>
        <w:ind w:firstLine="315" w:firstLineChars="150"/>
        <w:rPr>
          <w:rFonts w:hint="eastAsia" w:ascii="宋体" w:hAnsi="宋体" w:eastAsia="宋体" w:cs="宋体"/>
          <w:szCs w:val="21"/>
        </w:rPr>
      </w:pPr>
      <w:r>
        <w:rPr>
          <w:rFonts w:hint="eastAsia" w:ascii="宋体" w:hAnsi="宋体" w:eastAsia="宋体" w:cs="宋体"/>
          <w:szCs w:val="21"/>
        </w:rPr>
        <w:t>葡萄出土上架后可马上整理畦子，畦面与地面相平，两边做好畦埂，畦埂要踩实畦子的宽度120cm，剩余的防寒土填回原处，同时整平。</w:t>
      </w:r>
    </w:p>
    <w:p w14:paraId="2D58F284">
      <w:pPr>
        <w:widowControl/>
        <w:rPr>
          <w:rFonts w:hint="eastAsia" w:ascii="黑体" w:hAnsi="黑体" w:eastAsia="黑体" w:cs="黑体"/>
          <w:bCs/>
          <w:szCs w:val="21"/>
        </w:rPr>
      </w:pPr>
      <w:r>
        <w:rPr>
          <w:rFonts w:hint="eastAsia" w:ascii="黑体" w:hAnsi="黑体" w:eastAsia="黑体" w:cs="黑体"/>
          <w:bCs/>
          <w:szCs w:val="21"/>
        </w:rPr>
        <w:t>7.1.3  抹芽和定枝</w:t>
      </w:r>
    </w:p>
    <w:p w14:paraId="485C87BF">
      <w:pPr>
        <w:widowControl/>
        <w:ind w:firstLine="315" w:firstLineChars="150"/>
        <w:rPr>
          <w:rFonts w:hint="eastAsia" w:ascii="宋体" w:hAnsi="宋体" w:eastAsia="宋体" w:cs="宋体"/>
          <w:szCs w:val="21"/>
        </w:rPr>
      </w:pPr>
      <w:r>
        <w:rPr>
          <w:rFonts w:hint="eastAsia" w:ascii="宋体" w:hAnsi="宋体" w:eastAsia="宋体" w:cs="宋体"/>
          <w:szCs w:val="21"/>
        </w:rPr>
        <w:t>因葡萄主蔓上的冬芽周围有很多副芽，萌发后要保留一个健壮旺盛的芽作为主蔓培养继续延长，其余的副芽抹掉。在架面上保留的新梢枝条每平方米15～20个左右（即20cm留1枝）。</w:t>
      </w:r>
    </w:p>
    <w:p w14:paraId="20D08367">
      <w:pPr>
        <w:widowControl/>
        <w:rPr>
          <w:rFonts w:hint="eastAsia" w:ascii="黑体" w:hAnsi="黑体" w:eastAsia="黑体" w:cs="黑体"/>
          <w:bCs/>
          <w:szCs w:val="21"/>
        </w:rPr>
      </w:pPr>
      <w:r>
        <w:rPr>
          <w:rFonts w:hint="eastAsia" w:ascii="黑体" w:hAnsi="黑体" w:eastAsia="黑体" w:cs="黑体"/>
          <w:bCs/>
          <w:szCs w:val="21"/>
        </w:rPr>
        <w:t>7.1.4 新梢管理</w:t>
      </w:r>
    </w:p>
    <w:p w14:paraId="7A4DD829">
      <w:pPr>
        <w:widowControl/>
        <w:rPr>
          <w:rFonts w:hint="eastAsia" w:ascii="黑体" w:hAnsi="黑体" w:eastAsia="黑体" w:cs="黑体"/>
          <w:bCs/>
          <w:szCs w:val="21"/>
        </w:rPr>
      </w:pPr>
      <w:r>
        <w:rPr>
          <w:rFonts w:hint="eastAsia" w:ascii="黑体" w:hAnsi="黑体" w:eastAsia="黑体" w:cs="黑体"/>
          <w:bCs/>
          <w:szCs w:val="21"/>
        </w:rPr>
        <w:t>7.1.4.1 结果枝</w:t>
      </w:r>
    </w:p>
    <w:p w14:paraId="176AA39E">
      <w:pPr>
        <w:widowControl/>
        <w:ind w:firstLine="315" w:firstLineChars="150"/>
        <w:rPr>
          <w:rFonts w:hint="eastAsia" w:ascii="宋体" w:hAnsi="宋体" w:eastAsia="宋体" w:cs="宋体"/>
          <w:szCs w:val="21"/>
        </w:rPr>
      </w:pPr>
      <w:r>
        <w:rPr>
          <w:rFonts w:hint="eastAsia" w:ascii="宋体" w:hAnsi="宋体" w:eastAsia="宋体" w:cs="宋体"/>
          <w:szCs w:val="21"/>
        </w:rPr>
        <w:t>结果枝在果穗以上保留8～10片叶摘心，果穗以下的副梢全部抹掉，果穗以上的副梢要保留一片叶子摘心。</w:t>
      </w:r>
    </w:p>
    <w:p w14:paraId="7113AEA6">
      <w:pPr>
        <w:widowControl/>
        <w:rPr>
          <w:rFonts w:hint="eastAsia" w:ascii="黑体" w:hAnsi="黑体" w:eastAsia="黑体" w:cs="黑体"/>
          <w:bCs/>
          <w:szCs w:val="21"/>
        </w:rPr>
      </w:pPr>
      <w:r>
        <w:rPr>
          <w:rFonts w:hint="eastAsia" w:ascii="黑体" w:hAnsi="黑体" w:eastAsia="黑体" w:cs="黑体"/>
          <w:bCs/>
          <w:szCs w:val="21"/>
        </w:rPr>
        <w:t>7.1.4.2 发育枝</w:t>
      </w:r>
    </w:p>
    <w:p w14:paraId="1B2016BC">
      <w:pPr>
        <w:widowControl/>
        <w:ind w:firstLine="315" w:firstLineChars="150"/>
        <w:rPr>
          <w:rFonts w:hint="eastAsia" w:ascii="宋体" w:hAnsi="宋体" w:eastAsia="宋体" w:cs="宋体"/>
          <w:szCs w:val="21"/>
        </w:rPr>
      </w:pPr>
      <w:r>
        <w:rPr>
          <w:rFonts w:hint="eastAsia" w:ascii="宋体" w:hAnsi="宋体" w:eastAsia="宋体" w:cs="宋体"/>
          <w:szCs w:val="21"/>
        </w:rPr>
        <w:t>发育枝也叫营养枝，保留10～13片叶子摘心，副梢要保留一片叶子摘心。</w:t>
      </w:r>
    </w:p>
    <w:p w14:paraId="3914EAA9">
      <w:pPr>
        <w:widowControl/>
        <w:rPr>
          <w:rFonts w:hint="eastAsia" w:ascii="黑体" w:hAnsi="黑体" w:eastAsia="黑体" w:cs="黑体"/>
          <w:bCs/>
          <w:szCs w:val="21"/>
        </w:rPr>
      </w:pPr>
      <w:r>
        <w:rPr>
          <w:rFonts w:hint="eastAsia" w:ascii="黑体" w:hAnsi="黑体" w:eastAsia="黑体" w:cs="黑体"/>
          <w:bCs/>
          <w:szCs w:val="21"/>
        </w:rPr>
        <w:t>7.1.4.3 延长枝</w:t>
      </w:r>
    </w:p>
    <w:p w14:paraId="727B305B">
      <w:pPr>
        <w:widowControl/>
        <w:ind w:firstLine="420" w:firstLineChars="200"/>
        <w:rPr>
          <w:rFonts w:hint="eastAsia" w:ascii="宋体" w:hAnsi="宋体" w:eastAsia="宋体" w:cs="宋体"/>
          <w:szCs w:val="21"/>
        </w:rPr>
      </w:pPr>
      <w:r>
        <w:rPr>
          <w:rFonts w:hint="eastAsia" w:ascii="宋体" w:hAnsi="宋体" w:eastAsia="宋体" w:cs="宋体"/>
          <w:szCs w:val="21"/>
        </w:rPr>
        <w:t>当延长枝长到所要求的长度后（离邻行立柱500cm远处），即可摘心。</w:t>
      </w:r>
    </w:p>
    <w:p w14:paraId="7AFB0087">
      <w:pPr>
        <w:widowControl/>
        <w:rPr>
          <w:rFonts w:hint="eastAsia" w:ascii="黑体" w:hAnsi="黑体" w:eastAsia="黑体" w:cs="黑体"/>
          <w:bCs/>
          <w:szCs w:val="21"/>
        </w:rPr>
      </w:pPr>
      <w:r>
        <w:rPr>
          <w:rFonts w:hint="eastAsia" w:ascii="黑体" w:hAnsi="黑体" w:eastAsia="黑体" w:cs="黑体"/>
          <w:bCs/>
          <w:szCs w:val="21"/>
        </w:rPr>
        <w:t>7.1.4.4 厂字型架势管理</w:t>
      </w:r>
    </w:p>
    <w:p w14:paraId="0A50236C">
      <w:pPr>
        <w:widowControl/>
        <w:ind w:firstLine="315" w:firstLineChars="150"/>
        <w:rPr>
          <w:rFonts w:hint="eastAsia" w:ascii="宋体" w:hAnsi="宋体" w:eastAsia="宋体" w:cs="宋体"/>
          <w:szCs w:val="21"/>
        </w:rPr>
      </w:pPr>
      <w:r>
        <w:rPr>
          <w:rFonts w:hint="eastAsia" w:ascii="宋体" w:hAnsi="宋体" w:eastAsia="宋体" w:cs="宋体"/>
          <w:szCs w:val="21"/>
        </w:rPr>
        <w:t>主干与地面成30～45°角，沿行向长放，只留一个主枝延长枝向水平棚架方向延伸，副梢3片叶摘心，延长枝在300～350cm处或在8月10日前完成摘心。</w:t>
      </w:r>
    </w:p>
    <w:p w14:paraId="48AD292C">
      <w:pPr>
        <w:widowControl/>
        <w:rPr>
          <w:rFonts w:hint="eastAsia" w:ascii="黑体" w:hAnsi="黑体" w:eastAsia="黑体" w:cs="黑体"/>
          <w:bCs/>
          <w:szCs w:val="21"/>
        </w:rPr>
      </w:pPr>
    </w:p>
    <w:p w14:paraId="3F6B9AC2">
      <w:pPr>
        <w:widowControl/>
        <w:rPr>
          <w:rFonts w:hint="eastAsia" w:ascii="黑体" w:hAnsi="黑体" w:eastAsia="黑体" w:cs="黑体"/>
          <w:bCs/>
          <w:szCs w:val="21"/>
        </w:rPr>
      </w:pPr>
      <w:r>
        <w:rPr>
          <w:rFonts w:hint="eastAsia" w:ascii="黑体" w:hAnsi="黑体" w:eastAsia="黑体" w:cs="黑体"/>
          <w:bCs/>
          <w:szCs w:val="21"/>
        </w:rPr>
        <w:t>8   花果管理</w:t>
      </w:r>
    </w:p>
    <w:p w14:paraId="06D18B33">
      <w:pPr>
        <w:widowControl/>
        <w:rPr>
          <w:rFonts w:hint="eastAsia" w:ascii="黑体" w:hAnsi="黑体" w:eastAsia="黑体" w:cs="黑体"/>
          <w:bCs/>
          <w:szCs w:val="21"/>
        </w:rPr>
      </w:pPr>
    </w:p>
    <w:p w14:paraId="1E1CEAFB">
      <w:pPr>
        <w:widowControl/>
        <w:rPr>
          <w:rFonts w:hint="eastAsia" w:ascii="黑体" w:hAnsi="黑体" w:eastAsia="黑体" w:cs="黑体"/>
          <w:bCs/>
          <w:szCs w:val="21"/>
        </w:rPr>
      </w:pPr>
      <w:r>
        <w:rPr>
          <w:rFonts w:hint="eastAsia" w:ascii="黑体" w:hAnsi="黑体" w:eastAsia="黑体" w:cs="黑体"/>
          <w:bCs/>
          <w:szCs w:val="21"/>
        </w:rPr>
        <w:t>8.1 花前管理</w:t>
      </w:r>
    </w:p>
    <w:p w14:paraId="566F653E">
      <w:pPr>
        <w:widowControl/>
        <w:ind w:firstLine="420" w:firstLineChars="200"/>
        <w:rPr>
          <w:rFonts w:hint="eastAsia" w:ascii="宋体" w:hAnsi="宋体" w:eastAsia="宋体" w:cs="宋体"/>
          <w:szCs w:val="21"/>
        </w:rPr>
      </w:pPr>
      <w:r>
        <w:rPr>
          <w:rFonts w:hint="eastAsia" w:ascii="宋体" w:hAnsi="宋体" w:eastAsia="宋体" w:cs="宋体"/>
          <w:szCs w:val="21"/>
        </w:rPr>
        <w:t>在</w:t>
      </w:r>
      <w:r>
        <w:rPr>
          <w:rFonts w:ascii="宋体" w:hAnsi="宋体" w:eastAsia="宋体" w:cs="宋体"/>
          <w:szCs w:val="21"/>
        </w:rPr>
        <w:t>花前4天以内，花序喷</w:t>
      </w:r>
      <w:r>
        <w:rPr>
          <w:rFonts w:hint="eastAsia" w:ascii="宋体" w:hAnsi="宋体" w:eastAsia="宋体" w:cs="宋体"/>
          <w:szCs w:val="21"/>
        </w:rPr>
        <w:t>施</w:t>
      </w:r>
      <w:r>
        <w:rPr>
          <w:rFonts w:ascii="宋体" w:hAnsi="宋体" w:eastAsia="宋体" w:cs="宋体"/>
          <w:szCs w:val="21"/>
        </w:rPr>
        <w:t>1次0.3%硼砂提高坐果。</w:t>
      </w:r>
    </w:p>
    <w:p w14:paraId="0A8BCEFF">
      <w:pPr>
        <w:widowControl/>
        <w:rPr>
          <w:rFonts w:hint="eastAsia" w:ascii="黑体" w:hAnsi="黑体" w:eastAsia="黑体" w:cs="黑体"/>
          <w:bCs/>
          <w:szCs w:val="21"/>
        </w:rPr>
      </w:pPr>
      <w:r>
        <w:rPr>
          <w:rFonts w:hint="eastAsia" w:ascii="黑体" w:hAnsi="黑体" w:eastAsia="黑体" w:cs="黑体"/>
          <w:bCs/>
          <w:szCs w:val="21"/>
        </w:rPr>
        <w:t>8.2 果穗整形</w:t>
      </w:r>
    </w:p>
    <w:p w14:paraId="3090CD73">
      <w:pPr>
        <w:widowControl/>
        <w:tabs>
          <w:tab w:val="left" w:pos="360"/>
        </w:tabs>
        <w:ind w:firstLine="420" w:firstLineChars="200"/>
        <w:rPr>
          <w:rFonts w:hint="eastAsia" w:ascii="仿宋" w:hAnsi="仿宋" w:eastAsia="仿宋" w:cs="Times New Roman"/>
          <w:kern w:val="0"/>
          <w:sz w:val="28"/>
          <w:szCs w:val="28"/>
        </w:rPr>
      </w:pPr>
      <w:r>
        <w:rPr>
          <w:rFonts w:hint="eastAsia" w:ascii="宋体" w:hAnsi="宋体" w:eastAsia="宋体" w:cs="宋体"/>
          <w:szCs w:val="21"/>
        </w:rPr>
        <w:t>要去除穗肩、尖，疏除发育不良的小粒或过密的果粒，使果粒整齐一致。</w:t>
      </w:r>
    </w:p>
    <w:p w14:paraId="3E269330">
      <w:pPr>
        <w:widowControl/>
        <w:rPr>
          <w:rFonts w:hint="eastAsia" w:ascii="黑体" w:hAnsi="黑体" w:eastAsia="黑体" w:cs="黑体"/>
          <w:bCs/>
          <w:szCs w:val="21"/>
        </w:rPr>
      </w:pPr>
      <w:r>
        <w:rPr>
          <w:rFonts w:hint="eastAsia" w:ascii="黑体" w:hAnsi="黑体" w:eastAsia="黑体" w:cs="黑体"/>
          <w:bCs/>
          <w:szCs w:val="21"/>
        </w:rPr>
        <w:t>8.3 套袋</w:t>
      </w:r>
    </w:p>
    <w:p w14:paraId="68E96D2E">
      <w:pPr>
        <w:widowControl/>
        <w:tabs>
          <w:tab w:val="left" w:pos="360"/>
        </w:tabs>
        <w:rPr>
          <w:rFonts w:hint="eastAsia" w:ascii="宋体" w:hAnsi="宋体" w:eastAsia="宋体" w:cs="宋体"/>
          <w:szCs w:val="21"/>
        </w:rPr>
      </w:pPr>
      <w:r>
        <w:rPr>
          <w:rFonts w:hint="eastAsia" w:ascii="黑体" w:hAnsi="黑体" w:eastAsia="黑体" w:cs="黑体"/>
          <w:bCs/>
          <w:szCs w:val="21"/>
        </w:rPr>
        <w:t>8.3.1 套袋种类</w:t>
      </w:r>
    </w:p>
    <w:p w14:paraId="5E0E6842">
      <w:pPr>
        <w:widowControl/>
        <w:tabs>
          <w:tab w:val="left" w:pos="360"/>
        </w:tabs>
        <w:ind w:firstLine="420" w:firstLineChars="200"/>
        <w:rPr>
          <w:rFonts w:hint="eastAsia" w:ascii="宋体" w:hAnsi="宋体" w:eastAsia="宋体" w:cs="宋体"/>
          <w:szCs w:val="21"/>
        </w:rPr>
      </w:pPr>
      <w:r>
        <w:rPr>
          <w:rFonts w:hint="eastAsia" w:ascii="宋体" w:hAnsi="宋体" w:eastAsia="宋体" w:cs="宋体"/>
          <w:szCs w:val="21"/>
        </w:rPr>
        <w:t>红色品种可选用白色纸袋，可瑞森无核和弗雷无核可选用无纺布袋。</w:t>
      </w:r>
    </w:p>
    <w:p w14:paraId="69C2910D">
      <w:pPr>
        <w:widowControl/>
        <w:tabs>
          <w:tab w:val="left" w:pos="360"/>
        </w:tabs>
        <w:rPr>
          <w:rFonts w:hint="eastAsia" w:ascii="黑体" w:hAnsi="黑体" w:eastAsia="黑体" w:cs="黑体"/>
          <w:bCs/>
          <w:szCs w:val="21"/>
        </w:rPr>
      </w:pPr>
      <w:r>
        <w:rPr>
          <w:rFonts w:hint="eastAsia" w:ascii="黑体" w:hAnsi="黑体" w:eastAsia="黑体" w:cs="黑体"/>
          <w:bCs/>
          <w:szCs w:val="21"/>
        </w:rPr>
        <w:t>8.3.2 套带前准备</w:t>
      </w:r>
    </w:p>
    <w:p w14:paraId="6843A132">
      <w:pPr>
        <w:widowControl/>
        <w:tabs>
          <w:tab w:val="left" w:pos="360"/>
        </w:tabs>
        <w:ind w:firstLine="420" w:firstLineChars="200"/>
        <w:rPr>
          <w:rFonts w:hint="eastAsia" w:ascii="宋体" w:hAnsi="宋体" w:eastAsia="宋体" w:cs="宋体"/>
          <w:szCs w:val="21"/>
        </w:rPr>
      </w:pPr>
      <w:r>
        <w:rPr>
          <w:rFonts w:hint="eastAsia" w:ascii="宋体" w:hAnsi="宋体" w:eastAsia="宋体" w:cs="宋体"/>
          <w:szCs w:val="21"/>
        </w:rPr>
        <w:t>套袋前喷布施一遍500倍波尔多液（如遇雨重新喷布），待果面干透后立即进行套袋。</w:t>
      </w:r>
    </w:p>
    <w:p w14:paraId="058BF693">
      <w:pPr>
        <w:widowControl/>
        <w:tabs>
          <w:tab w:val="left" w:pos="360"/>
        </w:tabs>
        <w:rPr>
          <w:rFonts w:hint="eastAsia" w:ascii="黑体" w:hAnsi="黑体" w:eastAsia="黑体" w:cs="黑体"/>
          <w:bCs/>
          <w:szCs w:val="21"/>
        </w:rPr>
      </w:pPr>
      <w:r>
        <w:rPr>
          <w:rFonts w:hint="eastAsia" w:ascii="黑体" w:hAnsi="黑体" w:eastAsia="黑体" w:cs="黑体"/>
          <w:bCs/>
          <w:szCs w:val="21"/>
        </w:rPr>
        <w:t>8.3.3 套袋与去袋时间</w:t>
      </w:r>
    </w:p>
    <w:p w14:paraId="657F1F18">
      <w:pPr>
        <w:widowControl/>
        <w:tabs>
          <w:tab w:val="left" w:pos="360"/>
        </w:tabs>
        <w:ind w:firstLine="420" w:firstLineChars="200"/>
        <w:rPr>
          <w:rFonts w:hint="eastAsia" w:ascii="宋体" w:hAnsi="宋体" w:eastAsia="宋体" w:cs="宋体"/>
          <w:szCs w:val="21"/>
        </w:rPr>
      </w:pPr>
      <w:r>
        <w:rPr>
          <w:rFonts w:hint="eastAsia" w:ascii="宋体" w:hAnsi="宋体" w:eastAsia="宋体" w:cs="宋体"/>
          <w:szCs w:val="21"/>
        </w:rPr>
        <w:t xml:space="preserve"> 6月底～7月初，上午11时以前和18时以后进行套袋。有色品种在采收前10天左右去袋；绿色品种可以带袋采收。</w:t>
      </w:r>
    </w:p>
    <w:p w14:paraId="58D8D6AD">
      <w:pPr>
        <w:widowControl/>
        <w:rPr>
          <w:rFonts w:hint="eastAsia" w:ascii="黑体" w:hAnsi="黑体" w:eastAsia="黑体" w:cs="黑体"/>
          <w:bCs/>
          <w:szCs w:val="21"/>
        </w:rPr>
      </w:pPr>
      <w:r>
        <w:rPr>
          <w:rFonts w:hint="eastAsia" w:ascii="黑体" w:hAnsi="黑体" w:eastAsia="黑体" w:cs="黑体"/>
          <w:bCs/>
          <w:szCs w:val="21"/>
        </w:rPr>
        <w:t>8.4 冬季修剪</w:t>
      </w:r>
    </w:p>
    <w:p w14:paraId="11B08776">
      <w:pPr>
        <w:widowControl/>
        <w:tabs>
          <w:tab w:val="left" w:pos="360"/>
        </w:tabs>
        <w:ind w:firstLine="420" w:firstLineChars="200"/>
        <w:rPr>
          <w:rFonts w:hint="eastAsia" w:ascii="宋体" w:hAnsi="宋体" w:eastAsia="宋体" w:cs="宋体"/>
          <w:szCs w:val="21"/>
        </w:rPr>
      </w:pPr>
      <w:r>
        <w:rPr>
          <w:rFonts w:hint="eastAsia" w:ascii="宋体" w:hAnsi="宋体" w:eastAsia="宋体" w:cs="宋体"/>
          <w:szCs w:val="21"/>
        </w:rPr>
        <w:t>根据枝条的成熟度，达到0.6cm以上的留2～3个芽，0.8cm以上的剪留3～4个芽。修剪时可在两芽之间剪下为宜；节间短可在上端芽眼1cm～2cm处剪断。</w:t>
      </w:r>
    </w:p>
    <w:p w14:paraId="6BBA5BE4">
      <w:pPr>
        <w:widowControl/>
        <w:rPr>
          <w:rFonts w:hint="eastAsia" w:ascii="黑体" w:hAnsi="黑体" w:eastAsia="黑体" w:cs="黑体"/>
          <w:bCs/>
          <w:szCs w:val="21"/>
        </w:rPr>
      </w:pPr>
    </w:p>
    <w:p w14:paraId="3C4980D3">
      <w:pPr>
        <w:widowControl/>
        <w:rPr>
          <w:rFonts w:hint="eastAsia" w:ascii="黑体" w:hAnsi="黑体" w:eastAsia="黑体" w:cs="黑体"/>
          <w:bCs/>
          <w:szCs w:val="21"/>
        </w:rPr>
      </w:pPr>
      <w:r>
        <w:rPr>
          <w:rFonts w:hint="eastAsia" w:ascii="黑体" w:hAnsi="黑体" w:eastAsia="黑体" w:cs="黑体"/>
          <w:bCs/>
          <w:szCs w:val="21"/>
        </w:rPr>
        <w:t>9   土肥水管理</w:t>
      </w:r>
    </w:p>
    <w:p w14:paraId="0994C7EF">
      <w:pPr>
        <w:widowControl/>
        <w:rPr>
          <w:rFonts w:hint="eastAsia" w:ascii="黑体" w:hAnsi="黑体" w:eastAsia="黑体" w:cs="黑体"/>
          <w:bCs/>
          <w:szCs w:val="21"/>
        </w:rPr>
      </w:pPr>
    </w:p>
    <w:p w14:paraId="6ADFF903">
      <w:pPr>
        <w:widowControl/>
        <w:rPr>
          <w:rFonts w:hint="eastAsia" w:ascii="黑体" w:hAnsi="黑体" w:eastAsia="黑体" w:cs="黑体"/>
          <w:bCs/>
          <w:szCs w:val="21"/>
        </w:rPr>
      </w:pPr>
      <w:r>
        <w:rPr>
          <w:rFonts w:hint="eastAsia" w:ascii="黑体" w:hAnsi="黑体" w:eastAsia="黑体" w:cs="黑体"/>
          <w:bCs/>
          <w:szCs w:val="21"/>
        </w:rPr>
        <w:t>9.1 土壤管理</w:t>
      </w:r>
    </w:p>
    <w:p w14:paraId="2D60EA8B">
      <w:pPr>
        <w:widowControl/>
        <w:rPr>
          <w:rFonts w:hint="eastAsia" w:ascii="黑体" w:hAnsi="黑体" w:eastAsia="黑体" w:cs="黑体"/>
          <w:bCs/>
          <w:szCs w:val="21"/>
        </w:rPr>
      </w:pPr>
      <w:r>
        <w:rPr>
          <w:rFonts w:hint="eastAsia" w:ascii="黑体" w:hAnsi="黑体" w:eastAsia="黑体" w:cs="黑体"/>
          <w:bCs/>
          <w:szCs w:val="21"/>
        </w:rPr>
        <w:t>9.1.1 深翻改土</w:t>
      </w:r>
    </w:p>
    <w:p w14:paraId="7A12931C">
      <w:pPr>
        <w:widowControl/>
        <w:tabs>
          <w:tab w:val="left" w:pos="360"/>
        </w:tabs>
        <w:ind w:firstLine="420" w:firstLineChars="200"/>
        <w:rPr>
          <w:rFonts w:hint="eastAsia" w:ascii="宋体" w:hAnsi="宋体" w:eastAsia="宋体" w:cs="宋体"/>
          <w:szCs w:val="21"/>
        </w:rPr>
      </w:pPr>
      <w:r>
        <w:rPr>
          <w:rFonts w:hint="eastAsia" w:ascii="宋体" w:hAnsi="宋体" w:eastAsia="宋体" w:cs="宋体"/>
          <w:szCs w:val="21"/>
        </w:rPr>
        <w:t>早春深翻畦面，疏松土壤，深翻深度15cm～20cm，果实采收结合深翻秋施基肥。</w:t>
      </w:r>
    </w:p>
    <w:p w14:paraId="35A2975A">
      <w:pPr>
        <w:widowControl/>
        <w:rPr>
          <w:rFonts w:hint="eastAsia" w:ascii="黑体" w:hAnsi="黑体" w:eastAsia="黑体" w:cs="黑体"/>
          <w:bCs/>
          <w:szCs w:val="21"/>
        </w:rPr>
      </w:pPr>
      <w:r>
        <w:rPr>
          <w:rFonts w:hint="eastAsia" w:ascii="黑体" w:hAnsi="黑体" w:eastAsia="黑体" w:cs="黑体"/>
          <w:bCs/>
          <w:szCs w:val="21"/>
        </w:rPr>
        <w:t>9.1.2 中耕除草</w:t>
      </w:r>
    </w:p>
    <w:p w14:paraId="39952D0A">
      <w:pPr>
        <w:widowControl/>
        <w:tabs>
          <w:tab w:val="left" w:pos="360"/>
        </w:tabs>
        <w:ind w:firstLine="420" w:firstLineChars="200"/>
        <w:rPr>
          <w:rFonts w:hint="eastAsia" w:ascii="宋体" w:hAnsi="宋体" w:eastAsia="宋体" w:cs="宋体"/>
          <w:szCs w:val="21"/>
        </w:rPr>
      </w:pPr>
      <w:r>
        <w:rPr>
          <w:rFonts w:hint="eastAsia" w:ascii="宋体" w:hAnsi="宋体" w:eastAsia="宋体" w:cs="宋体"/>
          <w:szCs w:val="21"/>
        </w:rPr>
        <w:t>果园生长季节降水或灌水后，要及时中耕松土，保持土壤疏松无杂草。中耕深度5cm～10cm，以利于调温保墒。</w:t>
      </w:r>
    </w:p>
    <w:p w14:paraId="2AEDAE34">
      <w:pPr>
        <w:widowControl/>
        <w:rPr>
          <w:rFonts w:hint="eastAsia" w:ascii="黑体" w:hAnsi="黑体" w:eastAsia="黑体" w:cs="黑体"/>
          <w:bCs/>
          <w:szCs w:val="21"/>
        </w:rPr>
      </w:pPr>
      <w:r>
        <w:rPr>
          <w:rFonts w:hint="eastAsia" w:ascii="黑体" w:hAnsi="黑体" w:eastAsia="黑体" w:cs="黑体"/>
          <w:bCs/>
          <w:szCs w:val="21"/>
        </w:rPr>
        <w:t>9.2 施肥</w:t>
      </w:r>
    </w:p>
    <w:p w14:paraId="7B40C4FF">
      <w:pPr>
        <w:widowControl/>
        <w:rPr>
          <w:rFonts w:hint="eastAsia" w:ascii="黑体" w:hAnsi="黑体" w:eastAsia="黑体" w:cs="黑体"/>
          <w:bCs/>
          <w:szCs w:val="21"/>
        </w:rPr>
      </w:pPr>
      <w:r>
        <w:rPr>
          <w:rFonts w:hint="eastAsia" w:ascii="黑体" w:hAnsi="黑体" w:eastAsia="黑体" w:cs="黑体"/>
          <w:bCs/>
          <w:szCs w:val="21"/>
        </w:rPr>
        <w:t>9.2.1 施肥原则</w:t>
      </w:r>
    </w:p>
    <w:p w14:paraId="7ED26F1B">
      <w:pPr>
        <w:widowControl/>
        <w:tabs>
          <w:tab w:val="left" w:pos="360"/>
        </w:tabs>
        <w:ind w:firstLine="420" w:firstLineChars="200"/>
        <w:rPr>
          <w:rFonts w:hint="eastAsia" w:ascii="宋体" w:hAnsi="宋体" w:eastAsia="宋体" w:cs="宋体"/>
          <w:szCs w:val="21"/>
        </w:rPr>
      </w:pPr>
      <w:r>
        <w:rPr>
          <w:rFonts w:hint="eastAsia" w:ascii="宋体" w:hAnsi="宋体" w:eastAsia="宋体" w:cs="宋体"/>
          <w:szCs w:val="21"/>
        </w:rPr>
        <w:t>肥料的使用原则及种类按NY/T 394执行。</w:t>
      </w:r>
    </w:p>
    <w:p w14:paraId="69FD6467">
      <w:pPr>
        <w:widowControl/>
        <w:rPr>
          <w:rFonts w:hint="eastAsia" w:ascii="黑体" w:hAnsi="黑体" w:eastAsia="黑体" w:cs="黑体"/>
          <w:bCs/>
          <w:szCs w:val="21"/>
        </w:rPr>
      </w:pPr>
      <w:r>
        <w:rPr>
          <w:rFonts w:hint="eastAsia" w:ascii="黑体" w:hAnsi="黑体" w:eastAsia="黑体" w:cs="黑体"/>
          <w:bCs/>
          <w:szCs w:val="21"/>
        </w:rPr>
        <w:t>9.2.2 基肥</w:t>
      </w:r>
    </w:p>
    <w:p w14:paraId="3901BE87">
      <w:pPr>
        <w:widowControl/>
        <w:tabs>
          <w:tab w:val="left" w:pos="360"/>
        </w:tabs>
        <w:ind w:firstLine="420" w:firstLineChars="200"/>
        <w:rPr>
          <w:rFonts w:hint="eastAsia" w:ascii="宋体" w:hAnsi="宋体" w:eastAsia="宋体" w:cs="宋体"/>
          <w:szCs w:val="21"/>
        </w:rPr>
      </w:pPr>
      <w:r>
        <w:rPr>
          <w:rFonts w:hint="eastAsia" w:ascii="宋体" w:hAnsi="宋体" w:eastAsia="宋体" w:cs="宋体"/>
          <w:szCs w:val="21"/>
        </w:rPr>
        <w:t>葡萄采收后，马上开沟施肥，补充营养，每亩用优质有机肥料油渣100kg与2000kg～3000kg的厩肥拌好施入沟内，回填，做好畦埂，接着浇透水，施肥时第一年在架里，第二年在架外，轮换施入，确保土壤肥力。</w:t>
      </w:r>
    </w:p>
    <w:p w14:paraId="12F7053B">
      <w:pPr>
        <w:widowControl/>
        <w:rPr>
          <w:rFonts w:hint="eastAsia" w:ascii="黑体" w:hAnsi="黑体" w:eastAsia="黑体" w:cs="黑体"/>
          <w:bCs/>
          <w:szCs w:val="21"/>
        </w:rPr>
      </w:pPr>
      <w:r>
        <w:rPr>
          <w:rFonts w:hint="eastAsia" w:ascii="黑体" w:hAnsi="黑体" w:eastAsia="黑体" w:cs="黑体"/>
          <w:bCs/>
          <w:szCs w:val="21"/>
        </w:rPr>
        <w:t>9.2.2追肥</w:t>
      </w:r>
    </w:p>
    <w:p w14:paraId="29906726">
      <w:pPr>
        <w:widowControl/>
        <w:ind w:firstLine="315" w:firstLineChars="150"/>
        <w:rPr>
          <w:rFonts w:hint="eastAsia" w:ascii="宋体" w:hAnsi="宋体" w:eastAsia="宋体" w:cs="宋体"/>
          <w:szCs w:val="21"/>
        </w:rPr>
      </w:pPr>
      <w:r>
        <w:rPr>
          <w:rFonts w:hint="eastAsia" w:ascii="宋体" w:hAnsi="宋体" w:eastAsia="宋体" w:cs="宋体"/>
          <w:szCs w:val="21"/>
        </w:rPr>
        <w:t>葡萄一年追肥大约4次，分别在发芽期、开花期、果实膨大期、果实着色期等4个主要时期追施。</w:t>
      </w:r>
    </w:p>
    <w:p w14:paraId="23D1F7EB">
      <w:pPr>
        <w:widowControl/>
        <w:rPr>
          <w:rFonts w:hint="eastAsia" w:ascii="黑体" w:hAnsi="黑体" w:eastAsia="黑体" w:cs="黑体"/>
          <w:bCs/>
          <w:szCs w:val="21"/>
        </w:rPr>
      </w:pPr>
      <w:r>
        <w:rPr>
          <w:rFonts w:hint="eastAsia" w:ascii="黑体" w:hAnsi="黑体" w:eastAsia="黑体" w:cs="黑体"/>
          <w:bCs/>
          <w:szCs w:val="21"/>
        </w:rPr>
        <w:t>9.2.3 叶面喷肥</w:t>
      </w:r>
    </w:p>
    <w:p w14:paraId="4920C76A">
      <w:pPr>
        <w:widowControl/>
        <w:autoSpaceDE w:val="0"/>
        <w:autoSpaceDN w:val="0"/>
        <w:ind w:firstLine="420" w:firstLineChars="200"/>
        <w:rPr>
          <w:rFonts w:hint="eastAsia" w:ascii="宋体" w:hAnsi="宋体" w:eastAsia="宋体" w:cs="宋体"/>
          <w:szCs w:val="21"/>
        </w:rPr>
      </w:pPr>
      <w:r>
        <w:rPr>
          <w:rFonts w:hint="eastAsia" w:ascii="宋体" w:hAnsi="宋体" w:eastAsia="宋体" w:cs="宋体"/>
          <w:szCs w:val="21"/>
        </w:rPr>
        <w:t>葡萄生长前期用0.2%～0.5%尿素喷施可促新梢生长，生长后期用1%～3%过磷酸钙或草木灰、0.2%～0.3%磷酸二氢钾喷施促进果实和枝蔓成熟，花前用0.1%硼肥可提高坐果率，防止缺素症。</w:t>
      </w:r>
    </w:p>
    <w:p w14:paraId="098F0D92">
      <w:pPr>
        <w:widowControl/>
        <w:rPr>
          <w:rFonts w:hint="eastAsia" w:ascii="黑体" w:hAnsi="黑体" w:eastAsia="黑体" w:cs="黑体"/>
          <w:bCs/>
          <w:szCs w:val="21"/>
        </w:rPr>
      </w:pPr>
      <w:r>
        <w:rPr>
          <w:rFonts w:hint="eastAsia" w:ascii="黑体" w:hAnsi="黑体" w:eastAsia="黑体" w:cs="黑体"/>
          <w:bCs/>
          <w:szCs w:val="21"/>
        </w:rPr>
        <w:t>9.3 灌水</w:t>
      </w:r>
    </w:p>
    <w:p w14:paraId="50084845">
      <w:pPr>
        <w:widowControl/>
        <w:autoSpaceDE w:val="0"/>
        <w:autoSpaceDN w:val="0"/>
        <w:ind w:firstLine="420" w:firstLineChars="200"/>
        <w:rPr>
          <w:rFonts w:hint="eastAsia" w:ascii="宋体" w:hAnsi="宋体" w:eastAsia="宋体" w:cs="宋体"/>
          <w:szCs w:val="21"/>
        </w:rPr>
      </w:pPr>
      <w:r>
        <w:rPr>
          <w:rFonts w:hint="eastAsia" w:ascii="宋体" w:hAnsi="宋体" w:eastAsia="宋体" w:cs="宋体"/>
          <w:szCs w:val="21"/>
        </w:rPr>
        <w:t>葡萄出土上架后应及时浇水，正常的浇水7d～10d浇一次水，果实着色期可15d浇一次水。</w:t>
      </w:r>
    </w:p>
    <w:p w14:paraId="02F7C693">
      <w:pPr>
        <w:widowControl/>
        <w:rPr>
          <w:rFonts w:hint="eastAsia" w:ascii="黑体" w:hAnsi="黑体" w:eastAsia="黑体" w:cs="黑体"/>
          <w:bCs/>
          <w:szCs w:val="21"/>
        </w:rPr>
      </w:pPr>
      <w:bookmarkStart w:id="11" w:name="_Toc30335038"/>
      <w:bookmarkStart w:id="12" w:name="_Toc30335146"/>
    </w:p>
    <w:p w14:paraId="68C95BAD">
      <w:pPr>
        <w:widowControl/>
        <w:rPr>
          <w:rFonts w:hint="eastAsia" w:ascii="黑体" w:hAnsi="黑体" w:eastAsia="黑体" w:cs="黑体"/>
          <w:bCs/>
          <w:szCs w:val="21"/>
        </w:rPr>
      </w:pPr>
      <w:r>
        <w:rPr>
          <w:rFonts w:hint="eastAsia" w:ascii="黑体" w:hAnsi="黑体" w:eastAsia="黑体" w:cs="黑体"/>
          <w:bCs/>
          <w:szCs w:val="21"/>
        </w:rPr>
        <w:t>10   病虫害防治</w:t>
      </w:r>
      <w:bookmarkEnd w:id="11"/>
      <w:bookmarkEnd w:id="12"/>
    </w:p>
    <w:p w14:paraId="19547A99">
      <w:pPr>
        <w:widowControl/>
        <w:rPr>
          <w:rFonts w:hint="eastAsia" w:ascii="黑体" w:hAnsi="黑体" w:eastAsia="黑体" w:cs="黑体"/>
          <w:bCs/>
          <w:szCs w:val="21"/>
        </w:rPr>
      </w:pPr>
    </w:p>
    <w:p w14:paraId="0FCEE92C">
      <w:pPr>
        <w:widowControl/>
        <w:rPr>
          <w:rFonts w:hint="eastAsia" w:ascii="黑体" w:hAnsi="黑体" w:eastAsia="黑体" w:cs="黑体"/>
          <w:bCs/>
          <w:szCs w:val="21"/>
        </w:rPr>
      </w:pPr>
      <w:r>
        <w:rPr>
          <w:rFonts w:hint="eastAsia" w:ascii="黑体" w:hAnsi="黑体" w:eastAsia="黑体" w:cs="黑体"/>
          <w:bCs/>
          <w:szCs w:val="21"/>
        </w:rPr>
        <w:t>10.1 主要病虫害</w:t>
      </w:r>
    </w:p>
    <w:p w14:paraId="0FD3F0FD">
      <w:pPr>
        <w:widowControl/>
        <w:autoSpaceDE w:val="0"/>
        <w:autoSpaceDN w:val="0"/>
        <w:ind w:firstLine="420" w:firstLineChars="200"/>
        <w:rPr>
          <w:rFonts w:hint="eastAsia" w:ascii="宋体" w:hAnsi="宋体" w:eastAsia="宋体" w:cs="宋体"/>
          <w:szCs w:val="21"/>
        </w:rPr>
      </w:pPr>
      <w:r>
        <w:rPr>
          <w:rFonts w:hint="eastAsia" w:ascii="宋体" w:hAnsi="宋体" w:eastAsia="宋体" w:cs="宋体"/>
          <w:szCs w:val="21"/>
        </w:rPr>
        <w:t>主要病虫害为霜霉病、白粉病、穗轴褐枯病、毛毡病、斑叶蝉等。</w:t>
      </w:r>
    </w:p>
    <w:p w14:paraId="50D0CFA2">
      <w:pPr>
        <w:widowControl/>
        <w:rPr>
          <w:rFonts w:hint="eastAsia" w:ascii="黑体" w:hAnsi="黑体" w:eastAsia="黑体" w:cs="黑体"/>
          <w:bCs/>
          <w:szCs w:val="21"/>
        </w:rPr>
      </w:pPr>
      <w:r>
        <w:rPr>
          <w:rFonts w:hint="eastAsia" w:ascii="黑体" w:hAnsi="黑体" w:eastAsia="黑体" w:cs="黑体"/>
          <w:bCs/>
          <w:szCs w:val="21"/>
        </w:rPr>
        <w:t>10.2 防治原则</w:t>
      </w:r>
    </w:p>
    <w:p w14:paraId="75BA5CC1">
      <w:pPr>
        <w:widowControl/>
        <w:autoSpaceDE w:val="0"/>
        <w:autoSpaceDN w:val="0"/>
        <w:ind w:firstLine="420" w:firstLineChars="200"/>
        <w:rPr>
          <w:rFonts w:hint="eastAsia" w:ascii="宋体" w:hAnsi="宋体" w:eastAsia="宋体" w:cs="宋体"/>
          <w:szCs w:val="21"/>
        </w:rPr>
      </w:pPr>
      <w:r>
        <w:rPr>
          <w:rFonts w:hint="eastAsia" w:ascii="宋体" w:hAnsi="宋体" w:eastAsia="宋体" w:cs="宋体"/>
          <w:szCs w:val="21"/>
        </w:rPr>
        <w:t>应坚持“预防为主，综合防治”的原则，优先采用农业防治、物理防治和生物防治措施，在以上措施无法防治病虫害时，可采取化学防治措施。</w:t>
      </w:r>
    </w:p>
    <w:p w14:paraId="09854F54">
      <w:pPr>
        <w:widowControl/>
        <w:autoSpaceDE w:val="0"/>
        <w:autoSpaceDN w:val="0"/>
        <w:rPr>
          <w:rFonts w:hint="eastAsia" w:ascii="黑体" w:hAnsi="黑体" w:eastAsia="黑体" w:cs="黑体"/>
          <w:bCs/>
          <w:szCs w:val="21"/>
        </w:rPr>
      </w:pPr>
      <w:r>
        <w:rPr>
          <w:rFonts w:hint="eastAsia" w:ascii="黑体" w:hAnsi="黑体" w:eastAsia="黑体" w:cs="黑体"/>
          <w:bCs/>
          <w:szCs w:val="21"/>
        </w:rPr>
        <w:t>10.3 防治措施</w:t>
      </w:r>
    </w:p>
    <w:p w14:paraId="5A40FCB1">
      <w:pPr>
        <w:widowControl/>
        <w:autoSpaceDE w:val="0"/>
        <w:autoSpaceDN w:val="0"/>
        <w:rPr>
          <w:rFonts w:hint="eastAsia" w:ascii="黑体" w:hAnsi="黑体" w:eastAsia="黑体" w:cs="黑体"/>
          <w:bCs/>
          <w:szCs w:val="21"/>
        </w:rPr>
      </w:pPr>
      <w:r>
        <w:rPr>
          <w:rFonts w:hint="eastAsia" w:ascii="黑体" w:hAnsi="黑体" w:eastAsia="黑体" w:cs="黑体"/>
          <w:bCs/>
          <w:szCs w:val="21"/>
        </w:rPr>
        <w:t>10.3.1 农业措施</w:t>
      </w:r>
    </w:p>
    <w:p w14:paraId="0A2AEE77">
      <w:pPr>
        <w:widowControl/>
        <w:autoSpaceDE w:val="0"/>
        <w:autoSpaceDN w:val="0"/>
        <w:rPr>
          <w:rFonts w:hint="eastAsia" w:ascii="黑体" w:hAnsi="黑体" w:eastAsia="黑体" w:cs="黑体"/>
          <w:bCs/>
          <w:szCs w:val="21"/>
        </w:rPr>
      </w:pPr>
      <w:r>
        <w:rPr>
          <w:rFonts w:hint="eastAsia" w:ascii="黑体" w:hAnsi="黑体" w:eastAsia="黑体" w:cs="黑体"/>
          <w:bCs/>
          <w:szCs w:val="21"/>
        </w:rPr>
        <w:t>10.3.1.1 消除田间病株残体</w:t>
      </w:r>
    </w:p>
    <w:p w14:paraId="2C0B0EBE">
      <w:pPr>
        <w:widowControl/>
        <w:autoSpaceDE w:val="0"/>
        <w:autoSpaceDN w:val="0"/>
        <w:ind w:firstLine="420" w:firstLineChars="200"/>
        <w:rPr>
          <w:rFonts w:hint="eastAsia" w:ascii="宋体" w:hAnsi="宋体" w:eastAsia="宋体" w:cs="宋体"/>
          <w:szCs w:val="21"/>
        </w:rPr>
      </w:pPr>
      <w:r>
        <w:rPr>
          <w:rFonts w:hint="eastAsia" w:ascii="宋体" w:hAnsi="宋体" w:eastAsia="宋体" w:cs="宋体"/>
          <w:szCs w:val="21"/>
        </w:rPr>
        <w:t>葡萄下架埋土前及时清除病枝、病叶、病果，并彻底清扫果园，将带有病菌的枯枝落叶、杂草、病果烧毁或深埋，减少病原菌越冬基数；同时喷洒80%硫磺DF(成标)500倍液或3～5波美度石硫合剂。</w:t>
      </w:r>
    </w:p>
    <w:p w14:paraId="3F415BC0">
      <w:pPr>
        <w:widowControl/>
        <w:autoSpaceDE w:val="0"/>
        <w:autoSpaceDN w:val="0"/>
        <w:rPr>
          <w:rFonts w:hint="eastAsia" w:ascii="黑体" w:hAnsi="黑体" w:eastAsia="黑体" w:cs="黑体"/>
          <w:bCs/>
          <w:szCs w:val="21"/>
        </w:rPr>
      </w:pPr>
      <w:r>
        <w:rPr>
          <w:rFonts w:hint="eastAsia" w:ascii="黑体" w:hAnsi="黑体" w:eastAsia="黑体" w:cs="黑体"/>
          <w:bCs/>
          <w:szCs w:val="21"/>
        </w:rPr>
        <w:t>10.3.1.2 加强栽培管理</w:t>
      </w:r>
    </w:p>
    <w:p w14:paraId="4969AE97">
      <w:pPr>
        <w:widowControl/>
        <w:autoSpaceDE w:val="0"/>
        <w:autoSpaceDN w:val="0"/>
        <w:ind w:firstLine="420" w:firstLineChars="200"/>
        <w:rPr>
          <w:rFonts w:hint="eastAsia" w:ascii="宋体" w:hAnsi="宋体" w:eastAsia="宋体" w:cs="宋体"/>
          <w:szCs w:val="21"/>
        </w:rPr>
      </w:pPr>
      <w:r>
        <w:rPr>
          <w:rFonts w:hint="eastAsia" w:ascii="宋体" w:hAnsi="宋体" w:eastAsia="宋体" w:cs="宋体"/>
          <w:szCs w:val="21"/>
        </w:rPr>
        <w:t>施足腐熟有机肥，不偏施氮肥，合理增施磷、钾肥；灌水要因地制宜，采取滴灌和细流沟灌，雨水多的季节要控水和及时排水；及时修剪、绑蔓、除萌、抹芽、摘心和去副梢，改善架面通风透光条件；严格控制树体负载量；埋土和上架应顺势而为，防止损伤枝蔓，减少病原菌侵染几率。</w:t>
      </w:r>
    </w:p>
    <w:p w14:paraId="765BA886">
      <w:pPr>
        <w:widowControl/>
        <w:autoSpaceDE w:val="0"/>
        <w:autoSpaceDN w:val="0"/>
        <w:rPr>
          <w:rFonts w:hint="eastAsia" w:ascii="黑体" w:hAnsi="黑体" w:eastAsia="黑体" w:cs="黑体"/>
          <w:bCs/>
          <w:szCs w:val="21"/>
        </w:rPr>
      </w:pPr>
      <w:r>
        <w:rPr>
          <w:rFonts w:hint="eastAsia" w:ascii="黑体" w:hAnsi="黑体" w:eastAsia="黑体" w:cs="黑体"/>
          <w:bCs/>
          <w:szCs w:val="21"/>
        </w:rPr>
        <w:t>10.3.2  物理防治</w:t>
      </w:r>
    </w:p>
    <w:p w14:paraId="355D1C6F">
      <w:pPr>
        <w:widowControl/>
        <w:autoSpaceDE w:val="0"/>
        <w:autoSpaceDN w:val="0"/>
        <w:rPr>
          <w:rFonts w:hint="eastAsia" w:ascii="黑体" w:hAnsi="黑体" w:eastAsia="黑体" w:cs="黑体"/>
          <w:bCs/>
          <w:szCs w:val="21"/>
        </w:rPr>
      </w:pPr>
      <w:r>
        <w:rPr>
          <w:rFonts w:hint="eastAsia" w:ascii="黑体" w:hAnsi="黑体" w:eastAsia="黑体" w:cs="黑体"/>
          <w:bCs/>
          <w:szCs w:val="21"/>
        </w:rPr>
        <w:t>10.3.2.1 通风透光</w:t>
      </w:r>
    </w:p>
    <w:p w14:paraId="50189CA0">
      <w:pPr>
        <w:widowControl/>
        <w:autoSpaceDE w:val="0"/>
        <w:autoSpaceDN w:val="0"/>
        <w:ind w:firstLine="420" w:firstLineChars="200"/>
        <w:rPr>
          <w:rFonts w:hint="eastAsia" w:ascii="宋体" w:hAnsi="宋体" w:eastAsia="宋体" w:cs="宋体"/>
          <w:szCs w:val="21"/>
        </w:rPr>
      </w:pPr>
      <w:r>
        <w:rPr>
          <w:rFonts w:hint="eastAsia" w:ascii="宋体" w:hAnsi="宋体" w:eastAsia="宋体" w:cs="宋体"/>
          <w:szCs w:val="21"/>
        </w:rPr>
        <w:t>人工摘除发病叶片，合理修剪，注意通风透光 。</w:t>
      </w:r>
    </w:p>
    <w:p w14:paraId="5B3D78D8">
      <w:pPr>
        <w:widowControl/>
        <w:autoSpaceDE w:val="0"/>
        <w:autoSpaceDN w:val="0"/>
        <w:rPr>
          <w:rFonts w:hint="eastAsia" w:ascii="黑体" w:hAnsi="黑体" w:eastAsia="黑体" w:cs="黑体"/>
          <w:bCs/>
          <w:szCs w:val="21"/>
        </w:rPr>
      </w:pPr>
      <w:r>
        <w:rPr>
          <w:rFonts w:hint="eastAsia" w:ascii="黑体" w:hAnsi="黑体" w:eastAsia="黑体" w:cs="黑体"/>
          <w:bCs/>
          <w:szCs w:val="21"/>
        </w:rPr>
        <w:t>10.3.2.2 果实套袋</w:t>
      </w:r>
    </w:p>
    <w:p w14:paraId="6051E4B0">
      <w:pPr>
        <w:widowControl/>
        <w:autoSpaceDE w:val="0"/>
        <w:autoSpaceDN w:val="0"/>
        <w:ind w:firstLine="420" w:firstLineChars="200"/>
        <w:rPr>
          <w:rFonts w:hint="eastAsia" w:ascii="宋体" w:hAnsi="宋体" w:eastAsia="宋体" w:cs="宋体"/>
          <w:szCs w:val="21"/>
        </w:rPr>
      </w:pPr>
      <w:r>
        <w:rPr>
          <w:rFonts w:hint="eastAsia" w:ascii="宋体" w:hAnsi="宋体" w:eastAsia="宋体" w:cs="宋体"/>
          <w:szCs w:val="21"/>
        </w:rPr>
        <w:t>可有效地防止果穗被病、虫、冰雹、鸟、蜂等危害，可避免果穗日灼和农药污染，保持果穗整洁色艳，果粉保存良好，提高果实外观质量和商品性 。</w:t>
      </w:r>
    </w:p>
    <w:p w14:paraId="40BF1532">
      <w:pPr>
        <w:widowControl/>
        <w:autoSpaceDE w:val="0"/>
        <w:autoSpaceDN w:val="0"/>
        <w:rPr>
          <w:rFonts w:hint="eastAsia" w:ascii="黑体" w:hAnsi="黑体" w:eastAsia="黑体" w:cs="黑体"/>
          <w:bCs/>
          <w:szCs w:val="21"/>
        </w:rPr>
      </w:pPr>
      <w:r>
        <w:rPr>
          <w:rFonts w:hint="eastAsia" w:ascii="黑体" w:hAnsi="黑体" w:eastAsia="黑体" w:cs="黑体"/>
          <w:bCs/>
          <w:szCs w:val="21"/>
        </w:rPr>
        <w:t>10.3.2.3 黄板诱杀</w:t>
      </w:r>
    </w:p>
    <w:p w14:paraId="7D9CF028">
      <w:pPr>
        <w:widowControl/>
        <w:autoSpaceDE w:val="0"/>
        <w:autoSpaceDN w:val="0"/>
        <w:ind w:firstLine="420" w:firstLineChars="200"/>
        <w:rPr>
          <w:rFonts w:hint="eastAsia" w:ascii="宋体" w:hAnsi="宋体" w:eastAsia="宋体" w:cs="宋体"/>
          <w:szCs w:val="21"/>
        </w:rPr>
      </w:pPr>
      <w:r>
        <w:rPr>
          <w:rFonts w:hint="eastAsia" w:ascii="宋体" w:hAnsi="宋体" w:eastAsia="宋体" w:cs="宋体"/>
          <w:szCs w:val="21"/>
        </w:rPr>
        <w:t>利用黄板诱杀葡萄斑叶蝉成虫。在葡萄开墩后，将专用诱杀黄板挂在葡萄架第一条拉线上，与铁丝平行，每亩挂20～30块，一般可根据诱虫情况7d～10d涂1次胶，黄板重复使用时可用汽油清洗黄板上的胶 。</w:t>
      </w:r>
    </w:p>
    <w:p w14:paraId="08B63C4D">
      <w:pPr>
        <w:widowControl/>
        <w:autoSpaceDE w:val="0"/>
        <w:autoSpaceDN w:val="0"/>
        <w:rPr>
          <w:rFonts w:hint="eastAsia" w:ascii="黑体" w:hAnsi="黑体" w:eastAsia="黑体" w:cs="黑体"/>
          <w:bCs/>
          <w:szCs w:val="21"/>
        </w:rPr>
      </w:pPr>
      <w:r>
        <w:rPr>
          <w:rFonts w:hint="eastAsia" w:ascii="黑体" w:hAnsi="黑体" w:eastAsia="黑体" w:cs="黑体"/>
          <w:bCs/>
          <w:szCs w:val="21"/>
        </w:rPr>
        <w:t>10.3.4 生物防治</w:t>
      </w:r>
    </w:p>
    <w:p w14:paraId="5233FC8F">
      <w:pPr>
        <w:widowControl/>
        <w:autoSpaceDE w:val="0"/>
        <w:autoSpaceDN w:val="0"/>
        <w:ind w:firstLine="420" w:firstLineChars="200"/>
        <w:rPr>
          <w:rFonts w:hint="eastAsia" w:ascii="宋体" w:hAnsi="宋体" w:eastAsia="宋体" w:cs="宋体"/>
          <w:szCs w:val="21"/>
        </w:rPr>
      </w:pPr>
      <w:r>
        <w:rPr>
          <w:rFonts w:hint="eastAsia" w:ascii="宋体" w:hAnsi="宋体" w:eastAsia="宋体" w:cs="宋体"/>
          <w:szCs w:val="21"/>
        </w:rPr>
        <w:t>保护利用自然天敌如瓢虫、草蛉、蚜茧蜂等对蚜虫自然控制。积极推广植物源农药、农用抗生素、微生物农药等防治病虫。</w:t>
      </w:r>
    </w:p>
    <w:p w14:paraId="2F6CE8B2">
      <w:pPr>
        <w:widowControl/>
        <w:autoSpaceDE w:val="0"/>
        <w:autoSpaceDN w:val="0"/>
        <w:rPr>
          <w:rFonts w:hint="eastAsia" w:ascii="黑体" w:hAnsi="黑体" w:eastAsia="黑体" w:cs="黑体"/>
          <w:bCs/>
          <w:szCs w:val="21"/>
        </w:rPr>
      </w:pPr>
      <w:r>
        <w:rPr>
          <w:rFonts w:hint="eastAsia" w:ascii="黑体" w:hAnsi="黑体" w:eastAsia="黑体" w:cs="黑体"/>
          <w:bCs/>
          <w:szCs w:val="21"/>
        </w:rPr>
        <w:t>10.3.5 化学防治</w:t>
      </w:r>
    </w:p>
    <w:p w14:paraId="0027B9FA">
      <w:pPr>
        <w:widowControl/>
        <w:autoSpaceDE w:val="0"/>
        <w:autoSpaceDN w:val="0"/>
        <w:ind w:firstLine="420" w:firstLineChars="200"/>
        <w:rPr>
          <w:rFonts w:hint="eastAsia" w:ascii="宋体" w:hAnsi="宋体" w:eastAsia="宋体" w:cs="宋体"/>
          <w:szCs w:val="21"/>
        </w:rPr>
      </w:pPr>
      <w:bookmarkStart w:id="13" w:name="_Toc30335032"/>
      <w:bookmarkStart w:id="14" w:name="_Toc30335141"/>
      <w:r>
        <w:rPr>
          <w:rFonts w:hint="eastAsia" w:ascii="宋体" w:hAnsi="宋体" w:eastAsia="宋体" w:cs="宋体"/>
          <w:szCs w:val="21"/>
        </w:rPr>
        <w:t>根据病虫害的预测预报，及时掌握病虫害的发生动态，严格按照NY/T 393规定选用生物制剂或高效、低毒、低残留、与环境相容性好的农药，采用适当施用方式和器械进行防治。药剂防治贯彻安全、有效、对症治疗的原则，前期以保护剂为主，中后期以保护剂和治疗剂交替使用。具体防治方法见附录A。</w:t>
      </w:r>
    </w:p>
    <w:p w14:paraId="098889E6">
      <w:pPr>
        <w:widowControl/>
        <w:autoSpaceDE w:val="0"/>
        <w:autoSpaceDN w:val="0"/>
        <w:rPr>
          <w:rFonts w:hint="eastAsia" w:ascii="黑体" w:hAnsi="黑体" w:eastAsia="黑体" w:cs="黑体"/>
          <w:bCs/>
          <w:szCs w:val="21"/>
        </w:rPr>
      </w:pPr>
    </w:p>
    <w:p w14:paraId="0F165FF9">
      <w:pPr>
        <w:widowControl/>
        <w:autoSpaceDE w:val="0"/>
        <w:autoSpaceDN w:val="0"/>
        <w:rPr>
          <w:rFonts w:hint="eastAsia" w:ascii="黑体" w:hAnsi="黑体" w:eastAsia="黑体" w:cs="黑体"/>
          <w:bCs/>
          <w:szCs w:val="21"/>
        </w:rPr>
      </w:pPr>
      <w:r>
        <w:rPr>
          <w:rFonts w:hint="eastAsia" w:ascii="黑体" w:hAnsi="黑体" w:eastAsia="黑体" w:cs="黑体"/>
          <w:bCs/>
          <w:szCs w:val="21"/>
        </w:rPr>
        <w:t>11   采收</w:t>
      </w:r>
      <w:bookmarkEnd w:id="13"/>
      <w:bookmarkEnd w:id="14"/>
      <w:r>
        <w:rPr>
          <w:rFonts w:hint="eastAsia" w:ascii="黑体" w:hAnsi="黑体" w:eastAsia="黑体" w:cs="黑体"/>
          <w:bCs/>
          <w:szCs w:val="21"/>
        </w:rPr>
        <w:t>、分级与包装</w:t>
      </w:r>
    </w:p>
    <w:p w14:paraId="7CE82932">
      <w:pPr>
        <w:widowControl/>
        <w:autoSpaceDE w:val="0"/>
        <w:autoSpaceDN w:val="0"/>
        <w:rPr>
          <w:rFonts w:hint="eastAsia" w:ascii="黑体" w:hAnsi="黑体" w:eastAsia="黑体" w:cs="黑体"/>
          <w:bCs/>
          <w:szCs w:val="21"/>
        </w:rPr>
      </w:pPr>
    </w:p>
    <w:p w14:paraId="686C971E">
      <w:pPr>
        <w:widowControl/>
        <w:autoSpaceDE w:val="0"/>
        <w:autoSpaceDN w:val="0"/>
        <w:rPr>
          <w:rFonts w:hint="eastAsia" w:ascii="黑体" w:hAnsi="黑体" w:eastAsia="黑体" w:cs="黑体"/>
          <w:bCs/>
          <w:szCs w:val="21"/>
        </w:rPr>
      </w:pPr>
      <w:r>
        <w:rPr>
          <w:rFonts w:hint="eastAsia" w:ascii="黑体" w:hAnsi="黑体" w:eastAsia="黑体" w:cs="黑体"/>
          <w:bCs/>
          <w:szCs w:val="21"/>
        </w:rPr>
        <w:t>11.1 采收</w:t>
      </w:r>
    </w:p>
    <w:p w14:paraId="28EE42EE">
      <w:pPr>
        <w:widowControl/>
        <w:autoSpaceDE w:val="0"/>
        <w:autoSpaceDN w:val="0"/>
        <w:ind w:firstLine="420" w:firstLineChars="200"/>
        <w:rPr>
          <w:rFonts w:hint="eastAsia" w:ascii="宋体" w:hAnsi="宋体" w:eastAsia="宋体" w:cs="宋体"/>
          <w:szCs w:val="21"/>
        </w:rPr>
      </w:pPr>
      <w:r>
        <w:rPr>
          <w:rFonts w:hint="eastAsia" w:ascii="宋体" w:hAnsi="宋体" w:eastAsia="宋体" w:cs="宋体"/>
          <w:szCs w:val="21"/>
        </w:rPr>
        <w:t>采收前要准备果剪、果箱。果箱一般每箱装果2.5kg～10kg，防止压坏果粒。待葡萄浆果充分成熟，即有色品种充分表现出固有的品种色泽，黄白色品种的浆果变成果粒充分成熟后，选晴天无风或早晨露水干后进行采收，忌在雨天、雨后或炎热日照下采收。用果剪在果穗基部把果柄剪下,轻放入果箱内，防止阳光直射暴晒灼伤，保持果穗完整，修整时将每穗中的青粒（有色品种）、小粒、病粒、虫果、损伤果等影响果品质量的果粒剪除。不同品种采收时间的标准参考下表：</w:t>
      </w:r>
    </w:p>
    <w:p w14:paraId="578A7921">
      <w:pPr>
        <w:widowControl/>
        <w:autoSpaceDE w:val="0"/>
        <w:autoSpaceDN w:val="0"/>
        <w:ind w:firstLine="420" w:firstLineChars="200"/>
        <w:rPr>
          <w:rFonts w:hint="eastAsia" w:ascii="宋体" w:hAnsi="宋体" w:eastAsia="宋体" w:cs="宋体"/>
          <w:i/>
          <w:szCs w:val="21"/>
        </w:rPr>
      </w:pPr>
    </w:p>
    <w:tbl>
      <w:tblPr>
        <w:tblStyle w:val="43"/>
        <w:tblW w:w="5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1530"/>
        <w:gridCol w:w="2235"/>
      </w:tblGrid>
      <w:tr w14:paraId="2FFC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890" w:type="dxa"/>
          </w:tcPr>
          <w:p w14:paraId="7655CA91">
            <w:pPr>
              <w:widowControl/>
              <w:autoSpaceDE w:val="0"/>
              <w:autoSpaceDN w:val="0"/>
              <w:ind w:firstLine="360" w:firstLineChars="200"/>
              <w:rPr>
                <w:rFonts w:hint="eastAsia" w:ascii="宋体" w:hAnsi="宋体" w:eastAsia="宋体" w:cs="宋体"/>
                <w:sz w:val="18"/>
                <w:szCs w:val="18"/>
              </w:rPr>
            </w:pPr>
            <w:r>
              <w:rPr>
                <w:rFonts w:hint="eastAsia" w:ascii="宋体" w:hAnsi="宋体" w:eastAsia="宋体" w:cs="宋体"/>
                <w:sz w:val="18"/>
                <w:szCs w:val="18"/>
              </w:rPr>
              <w:t>品种</w:t>
            </w:r>
          </w:p>
        </w:tc>
        <w:tc>
          <w:tcPr>
            <w:tcW w:w="1530" w:type="dxa"/>
          </w:tcPr>
          <w:p w14:paraId="544905E0">
            <w:pPr>
              <w:widowControl/>
              <w:autoSpaceDE w:val="0"/>
              <w:autoSpaceDN w:val="0"/>
              <w:ind w:firstLine="360" w:firstLineChars="200"/>
              <w:rPr>
                <w:rFonts w:hint="eastAsia" w:ascii="宋体" w:hAnsi="宋体" w:eastAsia="宋体" w:cs="宋体"/>
                <w:sz w:val="18"/>
                <w:szCs w:val="18"/>
              </w:rPr>
            </w:pPr>
            <w:r>
              <w:rPr>
                <w:rFonts w:hint="eastAsia" w:ascii="宋体" w:hAnsi="宋体" w:eastAsia="宋体" w:cs="宋体"/>
                <w:sz w:val="18"/>
                <w:szCs w:val="18"/>
              </w:rPr>
              <w:t>色泽</w:t>
            </w:r>
          </w:p>
        </w:tc>
        <w:tc>
          <w:tcPr>
            <w:tcW w:w="2235" w:type="dxa"/>
          </w:tcPr>
          <w:p w14:paraId="10733D1E">
            <w:pPr>
              <w:widowControl/>
              <w:autoSpaceDE w:val="0"/>
              <w:autoSpaceDN w:val="0"/>
              <w:ind w:firstLine="360" w:firstLineChars="200"/>
              <w:rPr>
                <w:rFonts w:hint="eastAsia" w:ascii="宋体" w:hAnsi="宋体" w:eastAsia="宋体" w:cs="宋体"/>
                <w:sz w:val="18"/>
                <w:szCs w:val="18"/>
              </w:rPr>
            </w:pPr>
            <w:r>
              <w:rPr>
                <w:rFonts w:hint="eastAsia" w:ascii="宋体" w:hAnsi="宋体" w:eastAsia="宋体" w:cs="宋体"/>
                <w:sz w:val="18"/>
                <w:szCs w:val="18"/>
              </w:rPr>
              <w:t>可溶性固形物（%）</w:t>
            </w:r>
          </w:p>
        </w:tc>
      </w:tr>
      <w:tr w14:paraId="0170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0" w:type="dxa"/>
          </w:tcPr>
          <w:p w14:paraId="7F1965BE">
            <w:pPr>
              <w:widowControl/>
              <w:autoSpaceDE w:val="0"/>
              <w:autoSpaceDN w:val="0"/>
              <w:ind w:firstLine="360" w:firstLineChars="200"/>
              <w:rPr>
                <w:rFonts w:hint="eastAsia" w:ascii="宋体" w:hAnsi="宋体" w:eastAsia="宋体" w:cs="宋体"/>
                <w:sz w:val="18"/>
                <w:szCs w:val="18"/>
              </w:rPr>
            </w:pPr>
            <w:r>
              <w:rPr>
                <w:rFonts w:hint="eastAsia" w:ascii="宋体" w:hAnsi="宋体" w:eastAsia="宋体" w:cs="宋体"/>
                <w:sz w:val="18"/>
                <w:szCs w:val="18"/>
              </w:rPr>
              <w:t>可瑞森无核</w:t>
            </w:r>
          </w:p>
        </w:tc>
        <w:tc>
          <w:tcPr>
            <w:tcW w:w="1530" w:type="dxa"/>
          </w:tcPr>
          <w:p w14:paraId="0C61231C">
            <w:pPr>
              <w:widowControl/>
              <w:autoSpaceDE w:val="0"/>
              <w:autoSpaceDN w:val="0"/>
              <w:ind w:firstLine="360" w:firstLineChars="200"/>
              <w:rPr>
                <w:rFonts w:hint="eastAsia" w:ascii="宋体" w:hAnsi="宋体" w:eastAsia="宋体" w:cs="宋体"/>
                <w:sz w:val="18"/>
                <w:szCs w:val="18"/>
              </w:rPr>
            </w:pPr>
            <w:r>
              <w:rPr>
                <w:rFonts w:hint="eastAsia" w:ascii="宋体" w:hAnsi="宋体" w:eastAsia="宋体" w:cs="宋体"/>
                <w:sz w:val="18"/>
                <w:szCs w:val="18"/>
              </w:rPr>
              <w:t>宝石红</w:t>
            </w:r>
          </w:p>
        </w:tc>
        <w:tc>
          <w:tcPr>
            <w:tcW w:w="2235" w:type="dxa"/>
          </w:tcPr>
          <w:p w14:paraId="058CB108">
            <w:pPr>
              <w:widowControl/>
              <w:autoSpaceDE w:val="0"/>
              <w:autoSpaceDN w:val="0"/>
              <w:ind w:firstLine="360" w:firstLineChars="200"/>
              <w:rPr>
                <w:rFonts w:hint="eastAsia" w:ascii="宋体" w:hAnsi="宋体" w:eastAsia="宋体" w:cs="宋体"/>
                <w:sz w:val="18"/>
                <w:szCs w:val="18"/>
              </w:rPr>
            </w:pPr>
            <w:r>
              <w:rPr>
                <w:rFonts w:hint="eastAsia" w:ascii="宋体" w:hAnsi="宋体" w:eastAsia="宋体" w:cs="宋体"/>
                <w:sz w:val="18"/>
                <w:szCs w:val="18"/>
              </w:rPr>
              <w:t>≧18</w:t>
            </w:r>
          </w:p>
        </w:tc>
      </w:tr>
      <w:tr w14:paraId="50C5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0" w:type="dxa"/>
          </w:tcPr>
          <w:p w14:paraId="498C9B78">
            <w:pPr>
              <w:widowControl/>
              <w:autoSpaceDE w:val="0"/>
              <w:autoSpaceDN w:val="0"/>
              <w:ind w:firstLine="360" w:firstLineChars="200"/>
              <w:rPr>
                <w:rFonts w:hint="eastAsia" w:ascii="宋体" w:hAnsi="宋体" w:eastAsia="宋体" w:cs="宋体"/>
                <w:sz w:val="18"/>
                <w:szCs w:val="18"/>
              </w:rPr>
            </w:pPr>
            <w:r>
              <w:rPr>
                <w:rFonts w:hint="eastAsia" w:ascii="宋体" w:hAnsi="宋体" w:eastAsia="宋体" w:cs="宋体"/>
                <w:sz w:val="18"/>
                <w:szCs w:val="18"/>
              </w:rPr>
              <w:t>弗雷无核</w:t>
            </w:r>
          </w:p>
        </w:tc>
        <w:tc>
          <w:tcPr>
            <w:tcW w:w="1530" w:type="dxa"/>
          </w:tcPr>
          <w:p w14:paraId="323531FF">
            <w:pPr>
              <w:widowControl/>
              <w:autoSpaceDE w:val="0"/>
              <w:autoSpaceDN w:val="0"/>
              <w:ind w:firstLine="360" w:firstLineChars="200"/>
              <w:rPr>
                <w:rFonts w:hint="eastAsia" w:ascii="宋体" w:hAnsi="宋体" w:eastAsia="宋体" w:cs="宋体"/>
                <w:sz w:val="18"/>
                <w:szCs w:val="18"/>
              </w:rPr>
            </w:pPr>
            <w:r>
              <w:rPr>
                <w:rFonts w:hint="eastAsia" w:ascii="宋体" w:hAnsi="宋体" w:eastAsia="宋体" w:cs="宋体"/>
                <w:sz w:val="18"/>
                <w:szCs w:val="18"/>
              </w:rPr>
              <w:t>鲜红色</w:t>
            </w:r>
          </w:p>
        </w:tc>
        <w:tc>
          <w:tcPr>
            <w:tcW w:w="2235" w:type="dxa"/>
          </w:tcPr>
          <w:p w14:paraId="3DCBDC0D">
            <w:pPr>
              <w:widowControl/>
              <w:autoSpaceDE w:val="0"/>
              <w:autoSpaceDN w:val="0"/>
              <w:ind w:firstLine="360" w:firstLineChars="200"/>
              <w:rPr>
                <w:rFonts w:hint="eastAsia" w:ascii="宋体" w:hAnsi="宋体" w:eastAsia="宋体" w:cs="宋体"/>
                <w:sz w:val="18"/>
                <w:szCs w:val="18"/>
              </w:rPr>
            </w:pPr>
            <w:r>
              <w:rPr>
                <w:rFonts w:hint="eastAsia" w:ascii="宋体" w:hAnsi="宋体" w:eastAsia="宋体" w:cs="宋体"/>
                <w:sz w:val="18"/>
                <w:szCs w:val="18"/>
              </w:rPr>
              <w:t>≧18</w:t>
            </w:r>
          </w:p>
        </w:tc>
      </w:tr>
      <w:tr w14:paraId="6D129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0" w:type="dxa"/>
          </w:tcPr>
          <w:p w14:paraId="4E34A7BD">
            <w:pPr>
              <w:widowControl/>
              <w:autoSpaceDE w:val="0"/>
              <w:autoSpaceDN w:val="0"/>
              <w:ind w:firstLine="360" w:firstLineChars="200"/>
              <w:rPr>
                <w:rFonts w:hint="eastAsia" w:ascii="宋体" w:hAnsi="宋体" w:eastAsia="宋体" w:cs="宋体"/>
                <w:sz w:val="18"/>
                <w:szCs w:val="18"/>
              </w:rPr>
            </w:pPr>
            <w:r>
              <w:rPr>
                <w:rFonts w:hint="eastAsia" w:ascii="宋体" w:hAnsi="宋体" w:eastAsia="宋体" w:cs="宋体"/>
                <w:sz w:val="18"/>
                <w:szCs w:val="18"/>
              </w:rPr>
              <w:t>红地球</w:t>
            </w:r>
          </w:p>
        </w:tc>
        <w:tc>
          <w:tcPr>
            <w:tcW w:w="1530" w:type="dxa"/>
          </w:tcPr>
          <w:p w14:paraId="5513EB21">
            <w:pPr>
              <w:widowControl/>
              <w:autoSpaceDE w:val="0"/>
              <w:autoSpaceDN w:val="0"/>
              <w:ind w:firstLine="360" w:firstLineChars="200"/>
              <w:rPr>
                <w:rFonts w:hint="eastAsia" w:ascii="宋体" w:hAnsi="宋体" w:eastAsia="宋体" w:cs="宋体"/>
                <w:sz w:val="18"/>
                <w:szCs w:val="18"/>
              </w:rPr>
            </w:pPr>
            <w:r>
              <w:rPr>
                <w:rFonts w:hint="eastAsia" w:ascii="宋体" w:hAnsi="宋体" w:eastAsia="宋体" w:cs="宋体"/>
                <w:sz w:val="18"/>
                <w:szCs w:val="18"/>
              </w:rPr>
              <w:t>鲜红色</w:t>
            </w:r>
          </w:p>
        </w:tc>
        <w:tc>
          <w:tcPr>
            <w:tcW w:w="2235" w:type="dxa"/>
          </w:tcPr>
          <w:p w14:paraId="78303949">
            <w:pPr>
              <w:widowControl/>
              <w:autoSpaceDE w:val="0"/>
              <w:autoSpaceDN w:val="0"/>
              <w:ind w:firstLine="360" w:firstLineChars="200"/>
              <w:rPr>
                <w:rFonts w:hint="eastAsia" w:ascii="宋体" w:hAnsi="宋体" w:eastAsia="宋体" w:cs="宋体"/>
                <w:sz w:val="18"/>
                <w:szCs w:val="18"/>
              </w:rPr>
            </w:pPr>
            <w:r>
              <w:rPr>
                <w:rFonts w:hint="eastAsia" w:ascii="宋体" w:hAnsi="宋体" w:eastAsia="宋体" w:cs="宋体"/>
                <w:sz w:val="18"/>
                <w:szCs w:val="18"/>
              </w:rPr>
              <w:t>≧16</w:t>
            </w:r>
          </w:p>
        </w:tc>
      </w:tr>
      <w:tr w14:paraId="782D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0" w:type="dxa"/>
          </w:tcPr>
          <w:p w14:paraId="7E86864C">
            <w:pPr>
              <w:widowControl/>
              <w:autoSpaceDE w:val="0"/>
              <w:autoSpaceDN w:val="0"/>
              <w:ind w:firstLine="360" w:firstLineChars="200"/>
              <w:rPr>
                <w:rFonts w:hint="eastAsia" w:ascii="宋体" w:hAnsi="宋体" w:eastAsia="宋体" w:cs="宋体"/>
                <w:sz w:val="18"/>
                <w:szCs w:val="18"/>
              </w:rPr>
            </w:pPr>
            <w:r>
              <w:rPr>
                <w:rFonts w:hint="eastAsia" w:ascii="宋体" w:hAnsi="宋体" w:eastAsia="宋体" w:cs="宋体"/>
                <w:sz w:val="18"/>
                <w:szCs w:val="18"/>
              </w:rPr>
              <w:t>无核白鸡心</w:t>
            </w:r>
          </w:p>
        </w:tc>
        <w:tc>
          <w:tcPr>
            <w:tcW w:w="1530" w:type="dxa"/>
          </w:tcPr>
          <w:p w14:paraId="09DB08D3">
            <w:pPr>
              <w:widowControl/>
              <w:autoSpaceDE w:val="0"/>
              <w:autoSpaceDN w:val="0"/>
              <w:ind w:firstLine="360" w:firstLineChars="200"/>
              <w:rPr>
                <w:rFonts w:hint="eastAsia" w:ascii="宋体" w:hAnsi="宋体" w:eastAsia="宋体" w:cs="宋体"/>
                <w:sz w:val="18"/>
                <w:szCs w:val="18"/>
              </w:rPr>
            </w:pPr>
            <w:r>
              <w:rPr>
                <w:rFonts w:hint="eastAsia" w:ascii="宋体" w:hAnsi="宋体" w:eastAsia="宋体" w:cs="宋体"/>
                <w:sz w:val="18"/>
                <w:szCs w:val="18"/>
              </w:rPr>
              <w:t>绿色</w:t>
            </w:r>
          </w:p>
        </w:tc>
        <w:tc>
          <w:tcPr>
            <w:tcW w:w="2235" w:type="dxa"/>
          </w:tcPr>
          <w:p w14:paraId="32EE39D4">
            <w:pPr>
              <w:widowControl/>
              <w:autoSpaceDE w:val="0"/>
              <w:autoSpaceDN w:val="0"/>
              <w:ind w:firstLine="360" w:firstLineChars="200"/>
              <w:rPr>
                <w:rFonts w:hint="eastAsia" w:ascii="宋体" w:hAnsi="宋体" w:eastAsia="宋体" w:cs="宋体"/>
                <w:sz w:val="18"/>
                <w:szCs w:val="18"/>
              </w:rPr>
            </w:pPr>
            <w:r>
              <w:rPr>
                <w:rFonts w:hint="eastAsia" w:ascii="宋体" w:hAnsi="宋体" w:eastAsia="宋体" w:cs="宋体"/>
                <w:sz w:val="18"/>
                <w:szCs w:val="18"/>
              </w:rPr>
              <w:t>≧19</w:t>
            </w:r>
          </w:p>
        </w:tc>
      </w:tr>
      <w:tr w14:paraId="26B6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0" w:type="dxa"/>
          </w:tcPr>
          <w:p w14:paraId="7E4FE638">
            <w:pPr>
              <w:widowControl/>
              <w:autoSpaceDE w:val="0"/>
              <w:autoSpaceDN w:val="0"/>
              <w:ind w:firstLine="360" w:firstLineChars="200"/>
              <w:rPr>
                <w:rFonts w:hint="eastAsia" w:ascii="宋体" w:hAnsi="宋体" w:eastAsia="宋体" w:cs="宋体"/>
                <w:sz w:val="18"/>
                <w:szCs w:val="18"/>
              </w:rPr>
            </w:pPr>
            <w:r>
              <w:rPr>
                <w:rFonts w:hint="eastAsia" w:ascii="宋体" w:hAnsi="宋体" w:eastAsia="宋体" w:cs="宋体"/>
                <w:sz w:val="18"/>
                <w:szCs w:val="18"/>
              </w:rPr>
              <w:t>无核白</w:t>
            </w:r>
          </w:p>
        </w:tc>
        <w:tc>
          <w:tcPr>
            <w:tcW w:w="1530" w:type="dxa"/>
          </w:tcPr>
          <w:p w14:paraId="5A3FE582">
            <w:pPr>
              <w:widowControl/>
              <w:autoSpaceDE w:val="0"/>
              <w:autoSpaceDN w:val="0"/>
              <w:ind w:firstLine="360" w:firstLineChars="200"/>
              <w:rPr>
                <w:rFonts w:hint="eastAsia" w:ascii="宋体" w:hAnsi="宋体" w:eastAsia="宋体" w:cs="宋体"/>
                <w:sz w:val="18"/>
                <w:szCs w:val="18"/>
              </w:rPr>
            </w:pPr>
            <w:r>
              <w:rPr>
                <w:rFonts w:hint="eastAsia" w:ascii="宋体" w:hAnsi="宋体" w:eastAsia="宋体" w:cs="宋体"/>
                <w:sz w:val="18"/>
                <w:szCs w:val="18"/>
              </w:rPr>
              <w:t>绿色</w:t>
            </w:r>
          </w:p>
        </w:tc>
        <w:tc>
          <w:tcPr>
            <w:tcW w:w="2235" w:type="dxa"/>
          </w:tcPr>
          <w:p w14:paraId="60548D1B">
            <w:pPr>
              <w:widowControl/>
              <w:autoSpaceDE w:val="0"/>
              <w:autoSpaceDN w:val="0"/>
              <w:ind w:firstLine="360" w:firstLineChars="200"/>
              <w:rPr>
                <w:rFonts w:hint="eastAsia" w:ascii="宋体" w:hAnsi="宋体" w:eastAsia="宋体" w:cs="宋体"/>
                <w:sz w:val="18"/>
                <w:szCs w:val="18"/>
              </w:rPr>
            </w:pPr>
            <w:r>
              <w:rPr>
                <w:rFonts w:hint="eastAsia" w:ascii="宋体" w:hAnsi="宋体" w:eastAsia="宋体" w:cs="宋体"/>
                <w:sz w:val="18"/>
                <w:szCs w:val="18"/>
              </w:rPr>
              <w:t>≧20</w:t>
            </w:r>
          </w:p>
        </w:tc>
      </w:tr>
    </w:tbl>
    <w:p w14:paraId="38B63EF2">
      <w:pPr>
        <w:widowControl/>
        <w:autoSpaceDE w:val="0"/>
        <w:autoSpaceDN w:val="0"/>
        <w:ind w:firstLine="420" w:firstLineChars="200"/>
        <w:rPr>
          <w:rFonts w:hint="eastAsia" w:ascii="宋体" w:hAnsi="宋体" w:eastAsia="宋体" w:cs="宋体"/>
          <w:szCs w:val="21"/>
        </w:rPr>
      </w:pPr>
    </w:p>
    <w:p w14:paraId="429994FE">
      <w:pPr>
        <w:widowControl/>
        <w:autoSpaceDE w:val="0"/>
        <w:autoSpaceDN w:val="0"/>
        <w:rPr>
          <w:rFonts w:hint="eastAsia" w:ascii="黑体" w:hAnsi="黑体" w:eastAsia="黑体" w:cs="黑体"/>
          <w:bCs/>
          <w:szCs w:val="21"/>
        </w:rPr>
      </w:pPr>
      <w:r>
        <w:rPr>
          <w:rFonts w:hint="eastAsia" w:ascii="黑体" w:hAnsi="黑体" w:eastAsia="黑体" w:cs="黑体"/>
          <w:bCs/>
          <w:szCs w:val="21"/>
        </w:rPr>
        <w:t>11.2 分级与包装</w:t>
      </w:r>
    </w:p>
    <w:p w14:paraId="18F5AE44">
      <w:pPr>
        <w:widowControl/>
        <w:autoSpaceDE w:val="0"/>
        <w:autoSpaceDN w:val="0"/>
        <w:ind w:firstLine="420" w:firstLineChars="200"/>
        <w:rPr>
          <w:rFonts w:hint="eastAsia" w:ascii="宋体" w:hAnsi="宋体" w:eastAsia="宋体" w:cs="宋体"/>
          <w:szCs w:val="21"/>
        </w:rPr>
      </w:pPr>
      <w:r>
        <w:rPr>
          <w:rFonts w:hint="eastAsia" w:ascii="宋体" w:hAnsi="宋体" w:eastAsia="宋体" w:cs="宋体"/>
          <w:szCs w:val="21"/>
        </w:rPr>
        <w:t>根据果粒大小、果穗大小、颜色等进行分级，严格按照分级规格进行包装。包装应符合NY/T 658的规定。</w:t>
      </w:r>
    </w:p>
    <w:p w14:paraId="0921BDAE">
      <w:pPr>
        <w:widowControl/>
        <w:autoSpaceDE w:val="0"/>
        <w:autoSpaceDN w:val="0"/>
        <w:rPr>
          <w:rFonts w:hint="eastAsia" w:ascii="黑体" w:hAnsi="黑体" w:eastAsia="黑体" w:cs="黑体"/>
          <w:bCs/>
          <w:szCs w:val="21"/>
        </w:rPr>
      </w:pPr>
    </w:p>
    <w:p w14:paraId="1D07638B">
      <w:pPr>
        <w:widowControl/>
        <w:rPr>
          <w:rFonts w:hint="eastAsia" w:ascii="黑体" w:hAnsi="黑体" w:eastAsia="黑体" w:cs="黑体"/>
          <w:bCs/>
          <w:szCs w:val="21"/>
        </w:rPr>
      </w:pPr>
      <w:r>
        <w:rPr>
          <w:rFonts w:hint="eastAsia" w:ascii="黑体" w:hAnsi="黑体" w:eastAsia="黑体" w:cs="黑体"/>
          <w:bCs/>
          <w:szCs w:val="21"/>
        </w:rPr>
        <w:t>12   生产废弃物处理</w:t>
      </w:r>
    </w:p>
    <w:p w14:paraId="3F82947A">
      <w:pPr>
        <w:widowControl/>
        <w:autoSpaceDE w:val="0"/>
        <w:autoSpaceDN w:val="0"/>
        <w:ind w:firstLine="420" w:firstLineChars="200"/>
        <w:rPr>
          <w:rFonts w:hint="eastAsia" w:ascii="宋体" w:hAnsi="宋体" w:eastAsia="宋体" w:cs="宋体"/>
          <w:szCs w:val="21"/>
        </w:rPr>
      </w:pPr>
    </w:p>
    <w:p w14:paraId="0F86E304">
      <w:pPr>
        <w:widowControl/>
        <w:autoSpaceDE w:val="0"/>
        <w:autoSpaceDN w:val="0"/>
        <w:ind w:firstLine="420" w:firstLineChars="200"/>
        <w:rPr>
          <w:rFonts w:hint="eastAsia" w:ascii="宋体" w:hAnsi="宋体" w:eastAsia="宋体" w:cs="宋体"/>
          <w:szCs w:val="21"/>
        </w:rPr>
      </w:pPr>
      <w:r>
        <w:rPr>
          <w:rFonts w:hint="eastAsia" w:ascii="宋体" w:hAnsi="宋体" w:eastAsia="宋体" w:cs="宋体"/>
          <w:szCs w:val="21"/>
        </w:rPr>
        <w:t>果实采收完修剪后，将葡萄枝条、地膜、滴灌、农药、肥料包装袋（瓶）带等移出田外，集中回收处理。</w:t>
      </w:r>
    </w:p>
    <w:p w14:paraId="500CBF44">
      <w:pPr>
        <w:widowControl/>
        <w:autoSpaceDE w:val="0"/>
        <w:autoSpaceDN w:val="0"/>
        <w:rPr>
          <w:rFonts w:hint="eastAsia" w:ascii="黑体" w:hAnsi="黑体" w:eastAsia="黑体" w:cs="黑体"/>
          <w:bCs/>
          <w:szCs w:val="21"/>
        </w:rPr>
      </w:pPr>
    </w:p>
    <w:p w14:paraId="21D900FB">
      <w:pPr>
        <w:widowControl/>
        <w:autoSpaceDE w:val="0"/>
        <w:autoSpaceDN w:val="0"/>
        <w:rPr>
          <w:rFonts w:hint="eastAsia" w:ascii="黑体" w:hAnsi="黑体" w:eastAsia="黑体" w:cs="黑体"/>
          <w:bCs/>
          <w:szCs w:val="21"/>
        </w:rPr>
      </w:pPr>
    </w:p>
    <w:p w14:paraId="242B1FF3">
      <w:pPr>
        <w:widowControl/>
        <w:autoSpaceDE w:val="0"/>
        <w:autoSpaceDN w:val="0"/>
        <w:rPr>
          <w:rFonts w:hint="eastAsia" w:ascii="黑体" w:hAnsi="黑体" w:eastAsia="黑体" w:cs="黑体"/>
          <w:bCs/>
          <w:szCs w:val="21"/>
        </w:rPr>
      </w:pPr>
      <w:r>
        <w:rPr>
          <w:rFonts w:hint="eastAsia" w:ascii="黑体" w:hAnsi="黑体" w:eastAsia="黑体" w:cs="黑体"/>
          <w:bCs/>
          <w:szCs w:val="21"/>
        </w:rPr>
        <w:t>13   储藏保鲜</w:t>
      </w:r>
    </w:p>
    <w:p w14:paraId="4F2655F0">
      <w:pPr>
        <w:widowControl/>
        <w:autoSpaceDE w:val="0"/>
        <w:autoSpaceDN w:val="0"/>
        <w:rPr>
          <w:rFonts w:hint="eastAsia" w:ascii="黑体" w:hAnsi="黑体" w:eastAsia="黑体" w:cs="黑体"/>
          <w:bCs/>
          <w:szCs w:val="21"/>
        </w:rPr>
      </w:pPr>
    </w:p>
    <w:p w14:paraId="25757E6D">
      <w:pPr>
        <w:widowControl/>
        <w:autoSpaceDE w:val="0"/>
        <w:autoSpaceDN w:val="0"/>
        <w:rPr>
          <w:rFonts w:hint="eastAsia" w:ascii="黑体" w:hAnsi="黑体" w:eastAsia="黑体" w:cs="黑体"/>
          <w:bCs/>
          <w:szCs w:val="21"/>
        </w:rPr>
      </w:pPr>
      <w:r>
        <w:rPr>
          <w:rFonts w:hint="eastAsia" w:ascii="黑体" w:hAnsi="黑体" w:eastAsia="黑体" w:cs="黑体"/>
          <w:bCs/>
          <w:szCs w:val="21"/>
        </w:rPr>
        <w:t>13.1 冷库消毒</w:t>
      </w:r>
    </w:p>
    <w:p w14:paraId="277FEA93">
      <w:pPr>
        <w:widowControl/>
        <w:autoSpaceDE w:val="0"/>
        <w:autoSpaceDN w:val="0"/>
        <w:ind w:firstLine="420" w:firstLineChars="200"/>
        <w:rPr>
          <w:rFonts w:hint="eastAsia" w:ascii="宋体" w:hAnsi="宋体" w:eastAsia="宋体" w:cs="宋体"/>
          <w:szCs w:val="21"/>
        </w:rPr>
      </w:pPr>
      <w:r>
        <w:rPr>
          <w:rFonts w:hint="eastAsia" w:ascii="宋体" w:hAnsi="宋体" w:eastAsia="宋体" w:cs="宋体"/>
          <w:szCs w:val="21"/>
        </w:rPr>
        <w:t>葡萄入库前3d～5d，对库房进行彻底消毒，然后打开风机及库门通风24h～48h。</w:t>
      </w:r>
    </w:p>
    <w:p w14:paraId="7156CE1C">
      <w:pPr>
        <w:widowControl/>
        <w:autoSpaceDE w:val="0"/>
        <w:autoSpaceDN w:val="0"/>
        <w:rPr>
          <w:rFonts w:hint="eastAsia" w:ascii="黑体" w:hAnsi="黑体" w:eastAsia="黑体" w:cs="黑体"/>
          <w:bCs/>
          <w:szCs w:val="21"/>
        </w:rPr>
      </w:pPr>
      <w:r>
        <w:rPr>
          <w:rFonts w:hint="eastAsia" w:ascii="黑体" w:hAnsi="黑体" w:eastAsia="黑体" w:cs="黑体"/>
          <w:bCs/>
          <w:szCs w:val="21"/>
        </w:rPr>
        <w:t>13.2 预冷库调温</w:t>
      </w:r>
    </w:p>
    <w:p w14:paraId="2A2DF7AB">
      <w:pPr>
        <w:widowControl/>
        <w:autoSpaceDE w:val="0"/>
        <w:autoSpaceDN w:val="0"/>
        <w:ind w:firstLine="420" w:firstLineChars="200"/>
        <w:rPr>
          <w:rFonts w:hint="eastAsia" w:ascii="宋体" w:hAnsi="宋体" w:eastAsia="宋体" w:cs="宋体"/>
          <w:szCs w:val="21"/>
        </w:rPr>
      </w:pPr>
      <w:r>
        <w:rPr>
          <w:rFonts w:hint="eastAsia" w:ascii="宋体" w:hAnsi="宋体" w:eastAsia="宋体" w:cs="宋体"/>
          <w:szCs w:val="21"/>
        </w:rPr>
        <w:t>预冷库在葡萄入库前一天温度调至0℃～-1℃，湿度≥95%。</w:t>
      </w:r>
    </w:p>
    <w:p w14:paraId="40831963">
      <w:pPr>
        <w:widowControl/>
        <w:autoSpaceDE w:val="0"/>
        <w:autoSpaceDN w:val="0"/>
        <w:rPr>
          <w:rFonts w:hint="eastAsia" w:ascii="黑体" w:hAnsi="黑体" w:eastAsia="黑体" w:cs="黑体"/>
          <w:bCs/>
          <w:szCs w:val="21"/>
        </w:rPr>
      </w:pPr>
      <w:r>
        <w:rPr>
          <w:rFonts w:hint="eastAsia" w:ascii="黑体" w:hAnsi="黑体" w:eastAsia="黑体" w:cs="黑体"/>
          <w:bCs/>
          <w:szCs w:val="21"/>
        </w:rPr>
        <w:t>13.3 预冷温度与时间</w:t>
      </w:r>
    </w:p>
    <w:p w14:paraId="0071C2A3">
      <w:pPr>
        <w:widowControl/>
        <w:autoSpaceDE w:val="0"/>
        <w:autoSpaceDN w:val="0"/>
        <w:ind w:firstLine="420" w:firstLineChars="200"/>
        <w:rPr>
          <w:rFonts w:hint="eastAsia" w:ascii="宋体" w:hAnsi="宋体" w:eastAsia="宋体" w:cs="宋体"/>
          <w:szCs w:val="21"/>
        </w:rPr>
      </w:pPr>
      <w:r>
        <w:rPr>
          <w:rFonts w:hint="eastAsia" w:ascii="宋体" w:hAnsi="宋体" w:eastAsia="宋体" w:cs="宋体"/>
          <w:szCs w:val="21"/>
        </w:rPr>
        <w:t>预冷间库温调至0℃～-1℃。预冷时间的长短与包装重量及入库量有关，一般每次入库量不超过总库容的15%～20%，塑料包装4kg～5kg预冷7h～9h，6kg包装需预冷10h～12h；纸箱包装12h～13h。</w:t>
      </w:r>
    </w:p>
    <w:p w14:paraId="27448843">
      <w:pPr>
        <w:widowControl/>
        <w:autoSpaceDE w:val="0"/>
        <w:autoSpaceDN w:val="0"/>
        <w:rPr>
          <w:rFonts w:hint="eastAsia" w:ascii="黑体" w:hAnsi="黑体" w:eastAsia="黑体" w:cs="黑体"/>
          <w:bCs/>
          <w:szCs w:val="21"/>
        </w:rPr>
      </w:pPr>
      <w:r>
        <w:rPr>
          <w:rFonts w:hint="eastAsia" w:ascii="黑体" w:hAnsi="黑体" w:eastAsia="黑体" w:cs="黑体"/>
          <w:bCs/>
          <w:szCs w:val="21"/>
        </w:rPr>
        <w:t>13.4 储藏库管理</w:t>
      </w:r>
    </w:p>
    <w:p w14:paraId="0B2C29CB">
      <w:pPr>
        <w:widowControl/>
        <w:autoSpaceDE w:val="0"/>
        <w:autoSpaceDN w:val="0"/>
        <w:ind w:firstLine="420" w:firstLineChars="200"/>
        <w:rPr>
          <w:rFonts w:hint="eastAsia" w:ascii="宋体" w:hAnsi="宋体" w:eastAsia="宋体" w:cs="宋体"/>
          <w:szCs w:val="21"/>
        </w:rPr>
      </w:pPr>
      <w:r>
        <w:rPr>
          <w:rFonts w:hint="eastAsia" w:ascii="宋体" w:hAnsi="宋体" w:eastAsia="宋体" w:cs="宋体"/>
          <w:szCs w:val="21"/>
        </w:rPr>
        <w:t>储藏应符合</w:t>
      </w:r>
      <w:r>
        <w:rPr>
          <w:rFonts w:ascii="宋体" w:hAnsi="宋体" w:eastAsia="宋体" w:cs="宋体"/>
          <w:szCs w:val="21"/>
        </w:rPr>
        <w:t>NY/T</w:t>
      </w:r>
      <w:r>
        <w:rPr>
          <w:rFonts w:hint="eastAsia" w:ascii="宋体" w:hAnsi="宋体" w:eastAsia="宋体" w:cs="宋体"/>
          <w:szCs w:val="21"/>
        </w:rPr>
        <w:t xml:space="preserve"> </w:t>
      </w:r>
      <w:r>
        <w:rPr>
          <w:rFonts w:ascii="宋体" w:hAnsi="宋体" w:eastAsia="宋体" w:cs="宋体"/>
          <w:szCs w:val="21"/>
        </w:rPr>
        <w:t>1056</w:t>
      </w:r>
      <w:r>
        <w:rPr>
          <w:rFonts w:hint="eastAsia" w:ascii="宋体" w:hAnsi="宋体" w:eastAsia="宋体" w:cs="宋体"/>
          <w:szCs w:val="21"/>
        </w:rPr>
        <w:t>标准要求。储藏库温度应保持在-0.5℃～0.5℃。葡萄垛应放在100cm×100cm×15cm托盘上；侧面离开墙体20cm～30cm；离开墙顶50cm～100cm；同时垛与垛之间有10cm～20cm的空隙。储藏过程中要经常检查储藏温度是否在-0.5℃～0.5℃，经常检查葡萄是否有霉变、腐烂、裂果、药害、冻害等危害，如发现应及时处理。</w:t>
      </w:r>
    </w:p>
    <w:p w14:paraId="4F1F957A">
      <w:pPr>
        <w:widowControl/>
        <w:autoSpaceDE w:val="0"/>
        <w:autoSpaceDN w:val="0"/>
        <w:rPr>
          <w:rFonts w:hint="eastAsia" w:ascii="黑体" w:hAnsi="黑体" w:eastAsia="黑体" w:cs="黑体"/>
          <w:bCs/>
          <w:szCs w:val="21"/>
        </w:rPr>
      </w:pPr>
    </w:p>
    <w:p w14:paraId="384BF93F">
      <w:pPr>
        <w:widowControl/>
        <w:autoSpaceDE w:val="0"/>
        <w:autoSpaceDN w:val="0"/>
        <w:rPr>
          <w:rFonts w:hint="eastAsia" w:ascii="黑体" w:hAnsi="黑体" w:eastAsia="黑体" w:cs="黑体"/>
          <w:bCs/>
          <w:szCs w:val="21"/>
        </w:rPr>
      </w:pPr>
      <w:r>
        <w:rPr>
          <w:rFonts w:hint="eastAsia" w:ascii="黑体" w:hAnsi="黑体" w:eastAsia="黑体" w:cs="黑体"/>
          <w:bCs/>
          <w:szCs w:val="21"/>
        </w:rPr>
        <w:t>14   埋土防寒</w:t>
      </w:r>
    </w:p>
    <w:p w14:paraId="79AE0986">
      <w:pPr>
        <w:widowControl/>
        <w:autoSpaceDE w:val="0"/>
        <w:autoSpaceDN w:val="0"/>
        <w:rPr>
          <w:rFonts w:hint="eastAsia" w:ascii="黑体" w:hAnsi="黑体" w:eastAsia="黑体" w:cs="黑体"/>
          <w:bCs/>
          <w:szCs w:val="21"/>
        </w:rPr>
      </w:pPr>
    </w:p>
    <w:p w14:paraId="55A5B353">
      <w:pPr>
        <w:widowControl/>
        <w:autoSpaceDE w:val="0"/>
        <w:autoSpaceDN w:val="0"/>
        <w:ind w:firstLine="420" w:firstLineChars="200"/>
        <w:rPr>
          <w:rFonts w:hint="eastAsia" w:ascii="宋体" w:hAnsi="宋体" w:eastAsia="宋体" w:cs="宋体"/>
          <w:szCs w:val="21"/>
        </w:rPr>
      </w:pPr>
      <w:r>
        <w:rPr>
          <w:rFonts w:hint="eastAsia" w:ascii="宋体" w:hAnsi="宋体" w:eastAsia="宋体" w:cs="宋体"/>
          <w:szCs w:val="21"/>
        </w:rPr>
        <w:t>新疆大部分地区从10月下旬开始，当气温≤-5℃时进行。修剪好后要及时下架防寒。将主蔓顺着行向，朝一个方向一株压一株埋直，然后用麻绳捆好，再绑上柴草，马上埋土，埋土厚度20cm，上顶80cm，下底120cm，挖土时远离植株150cm处挖土，打碎土块，防止透风，埋土后要经常检查是否有裂缝，发现有裂缝要及时补埋好，防止冻坏苗木。</w:t>
      </w:r>
    </w:p>
    <w:p w14:paraId="3B1DD246">
      <w:pPr>
        <w:widowControl/>
        <w:rPr>
          <w:rFonts w:hint="eastAsia" w:ascii="黑体" w:hAnsi="黑体" w:eastAsia="黑体" w:cs="黑体"/>
          <w:bCs/>
          <w:szCs w:val="21"/>
        </w:rPr>
      </w:pPr>
    </w:p>
    <w:p w14:paraId="50DD599B">
      <w:pPr>
        <w:widowControl/>
        <w:rPr>
          <w:rFonts w:hint="eastAsia" w:ascii="黑体" w:hAnsi="黑体" w:eastAsia="黑体" w:cs="黑体"/>
          <w:bCs/>
          <w:szCs w:val="21"/>
        </w:rPr>
      </w:pPr>
      <w:r>
        <w:rPr>
          <w:rFonts w:hint="eastAsia" w:ascii="黑体" w:hAnsi="黑体" w:eastAsia="黑体" w:cs="黑体"/>
          <w:bCs/>
          <w:szCs w:val="21"/>
        </w:rPr>
        <w:t>15   出土</w:t>
      </w:r>
    </w:p>
    <w:p w14:paraId="05E42642">
      <w:pPr>
        <w:widowControl/>
        <w:autoSpaceDE w:val="0"/>
        <w:autoSpaceDN w:val="0"/>
        <w:ind w:firstLine="420" w:firstLineChars="200"/>
        <w:rPr>
          <w:rFonts w:hint="eastAsia" w:ascii="宋体" w:hAnsi="宋体" w:eastAsia="宋体" w:cs="宋体"/>
          <w:szCs w:val="21"/>
        </w:rPr>
      </w:pPr>
    </w:p>
    <w:p w14:paraId="56C38312">
      <w:pPr>
        <w:widowControl/>
        <w:autoSpaceDE w:val="0"/>
        <w:autoSpaceDN w:val="0"/>
        <w:ind w:firstLine="420" w:firstLineChars="200"/>
        <w:rPr>
          <w:rFonts w:hint="eastAsia" w:ascii="宋体" w:hAnsi="宋体" w:eastAsia="宋体" w:cs="宋体"/>
          <w:szCs w:val="21"/>
        </w:rPr>
      </w:pPr>
      <w:r>
        <w:rPr>
          <w:rFonts w:hint="eastAsia" w:ascii="宋体" w:hAnsi="宋体" w:eastAsia="宋体" w:cs="宋体"/>
          <w:szCs w:val="21"/>
        </w:rPr>
        <w:t>当气温达到12℃时开始出土。出土后，整修葡萄沟，沟灌葡萄园，沟宽150cm，深20cm；滴管葡萄园，沟宽80cm，深20cm，嫁接苗以嫁接部位露出地面3cm～5cm。</w:t>
      </w:r>
    </w:p>
    <w:p w14:paraId="39542022">
      <w:pPr>
        <w:widowControl/>
        <w:rPr>
          <w:rFonts w:hint="eastAsia" w:ascii="黑体" w:hAnsi="黑体" w:eastAsia="黑体" w:cs="黑体"/>
          <w:bCs/>
          <w:szCs w:val="21"/>
        </w:rPr>
      </w:pPr>
    </w:p>
    <w:p w14:paraId="199A5F81">
      <w:pPr>
        <w:widowControl/>
        <w:autoSpaceDE w:val="0"/>
        <w:autoSpaceDN w:val="0"/>
        <w:rPr>
          <w:rFonts w:hint="eastAsia" w:ascii="黑体" w:hAnsi="黑体" w:eastAsia="黑体" w:cs="黑体"/>
          <w:bCs/>
          <w:szCs w:val="21"/>
        </w:rPr>
      </w:pPr>
      <w:r>
        <w:rPr>
          <w:rFonts w:hint="eastAsia" w:ascii="黑体" w:hAnsi="黑体" w:eastAsia="黑体" w:cs="黑体"/>
          <w:bCs/>
          <w:szCs w:val="21"/>
        </w:rPr>
        <w:t>16   生产档案管理</w:t>
      </w:r>
    </w:p>
    <w:p w14:paraId="7A10A4A7">
      <w:pPr>
        <w:widowControl/>
        <w:autoSpaceDE w:val="0"/>
        <w:autoSpaceDN w:val="0"/>
        <w:ind w:firstLine="420" w:firstLineChars="200"/>
        <w:rPr>
          <w:rFonts w:hint="eastAsia" w:ascii="宋体" w:hAnsi="宋体" w:eastAsia="宋体" w:cs="宋体"/>
          <w:szCs w:val="21"/>
        </w:rPr>
      </w:pPr>
    </w:p>
    <w:p w14:paraId="524E868B">
      <w:pPr>
        <w:widowControl/>
        <w:autoSpaceDE w:val="0"/>
        <w:autoSpaceDN w:val="0"/>
        <w:ind w:firstLine="420" w:firstLineChars="200"/>
        <w:rPr>
          <w:rFonts w:hint="eastAsia" w:ascii="宋体" w:hAnsi="宋体" w:eastAsia="宋体" w:cs="宋体"/>
          <w:szCs w:val="21"/>
        </w:rPr>
      </w:pPr>
      <w:r>
        <w:rPr>
          <w:rFonts w:hint="eastAsia" w:ascii="宋体" w:hAnsi="宋体" w:eastAsia="宋体" w:cs="宋体"/>
          <w:szCs w:val="21"/>
        </w:rPr>
        <w:t>建立生产者绿色食品露地鲜食葡萄生产档案，详细记录葡萄产地环境条件、生产技术、肥水管理、病虫防治、采收时间、品种、等级等情况，所有记录应真实、准确、规范并具有可追溯性，生产档案应有专人专柜保管，记录文件至少保存3年以上。</w:t>
      </w:r>
    </w:p>
    <w:p w14:paraId="298C628E">
      <w:pPr>
        <w:widowControl/>
        <w:autoSpaceDE w:val="0"/>
        <w:autoSpaceDN w:val="0"/>
        <w:rPr>
          <w:rFonts w:hint="eastAsia" w:ascii="黑体" w:hAnsi="黑体" w:eastAsia="黑体" w:cs="宋体"/>
          <w:szCs w:val="21"/>
        </w:rPr>
      </w:pPr>
    </w:p>
    <w:p w14:paraId="09ADB62F">
      <w:pPr>
        <w:widowControl/>
        <w:autoSpaceDE w:val="0"/>
        <w:autoSpaceDN w:val="0"/>
        <w:rPr>
          <w:rFonts w:hint="eastAsia" w:ascii="黑体" w:hAnsi="黑体" w:eastAsia="黑体" w:cs="宋体"/>
          <w:szCs w:val="21"/>
        </w:rPr>
      </w:pPr>
    </w:p>
    <w:p w14:paraId="6832DF52">
      <w:pPr>
        <w:widowControl/>
        <w:autoSpaceDE w:val="0"/>
        <w:autoSpaceDN w:val="0"/>
        <w:rPr>
          <w:rFonts w:hint="eastAsia" w:ascii="黑体" w:hAnsi="黑体" w:eastAsia="黑体" w:cs="宋体"/>
          <w:szCs w:val="21"/>
        </w:rPr>
      </w:pPr>
    </w:p>
    <w:p w14:paraId="2F01F2EA">
      <w:pPr>
        <w:rPr>
          <w:rFonts w:hint="eastAsia"/>
        </w:rPr>
      </w:pPr>
    </w:p>
    <w:p w14:paraId="7E03E031">
      <w:pPr>
        <w:rPr>
          <w:rFonts w:hint="eastAsia"/>
        </w:rPr>
      </w:pPr>
    </w:p>
    <w:bookmarkEnd w:id="10"/>
    <w:p w14:paraId="0A15DCAD">
      <w:pPr>
        <w:widowControl/>
        <w:rPr>
          <w:rFonts w:hint="eastAsia" w:ascii="宋体" w:hAnsi="宋体" w:eastAsia="宋体" w:cs="仿宋"/>
          <w:bCs/>
          <w:szCs w:val="21"/>
        </w:rPr>
      </w:pPr>
    </w:p>
    <w:p w14:paraId="4A424D21">
      <w:pPr>
        <w:widowControl/>
        <w:rPr>
          <w:rFonts w:hint="eastAsia" w:ascii="宋体" w:hAnsi="宋体" w:eastAsia="宋体" w:cs="仿宋"/>
          <w:bCs/>
          <w:szCs w:val="21"/>
        </w:rPr>
      </w:pPr>
    </w:p>
    <w:p w14:paraId="4AB5532B">
      <w:pPr>
        <w:widowControl/>
        <w:rPr>
          <w:rFonts w:hint="eastAsia" w:ascii="宋体" w:hAnsi="宋体" w:eastAsia="宋体" w:cs="仿宋"/>
          <w:bCs/>
          <w:szCs w:val="21"/>
        </w:rPr>
      </w:pPr>
    </w:p>
    <w:p w14:paraId="46796409">
      <w:pPr>
        <w:widowControl/>
        <w:rPr>
          <w:rFonts w:hint="eastAsia" w:ascii="宋体" w:hAnsi="宋体" w:eastAsia="宋体" w:cs="仿宋"/>
          <w:bCs/>
          <w:szCs w:val="21"/>
        </w:rPr>
      </w:pPr>
    </w:p>
    <w:p w14:paraId="1B340BBE">
      <w:pPr>
        <w:widowControl/>
        <w:rPr>
          <w:rFonts w:hint="eastAsia" w:ascii="宋体" w:hAnsi="宋体" w:eastAsia="宋体" w:cs="仿宋"/>
          <w:bCs/>
          <w:szCs w:val="21"/>
        </w:rPr>
      </w:pPr>
    </w:p>
    <w:p w14:paraId="14F44404">
      <w:pPr>
        <w:widowControl/>
        <w:rPr>
          <w:rFonts w:hint="eastAsia" w:ascii="宋体" w:hAnsi="宋体" w:eastAsia="宋体" w:cs="仿宋"/>
          <w:bCs/>
          <w:szCs w:val="21"/>
        </w:rPr>
      </w:pPr>
    </w:p>
    <w:p w14:paraId="780DEC40">
      <w:pPr>
        <w:jc w:val="center"/>
        <w:rPr>
          <w:rFonts w:hint="eastAsia" w:ascii="黑体" w:hAnsi="黑体" w:eastAsia="黑体"/>
          <w:sz w:val="24"/>
          <w:szCs w:val="24"/>
        </w:rPr>
      </w:pPr>
      <w:r>
        <w:rPr>
          <w:rFonts w:hint="eastAsia" w:ascii="黑体" w:hAnsi="黑体" w:eastAsia="黑体"/>
          <w:sz w:val="24"/>
          <w:szCs w:val="24"/>
        </w:rPr>
        <w:t xml:space="preserve">附 录 A </w:t>
      </w:r>
    </w:p>
    <w:p w14:paraId="492D4404">
      <w:pPr>
        <w:jc w:val="center"/>
        <w:rPr>
          <w:rFonts w:hint="eastAsia" w:ascii="黑体" w:hAnsi="黑体" w:eastAsia="黑体"/>
          <w:sz w:val="24"/>
          <w:szCs w:val="24"/>
        </w:rPr>
      </w:pPr>
      <w:r>
        <w:rPr>
          <w:rFonts w:hint="eastAsia" w:ascii="黑体" w:hAnsi="黑体" w:eastAsia="黑体"/>
          <w:sz w:val="24"/>
          <w:szCs w:val="24"/>
        </w:rPr>
        <w:t>（资料性附录）</w:t>
      </w:r>
    </w:p>
    <w:p w14:paraId="6A1C799A">
      <w:pPr>
        <w:widowControl/>
        <w:jc w:val="center"/>
        <w:rPr>
          <w:rFonts w:hint="eastAsia" w:ascii="黑体" w:hAnsi="黑体" w:eastAsia="黑体" w:cs="Times New Roman"/>
          <w:b/>
          <w:bCs/>
          <w:kern w:val="0"/>
          <w:sz w:val="24"/>
          <w:szCs w:val="24"/>
        </w:rPr>
      </w:pPr>
      <w:r>
        <w:rPr>
          <w:rFonts w:hint="eastAsia" w:ascii="黑体" w:hAnsi="黑体" w:eastAsia="黑体" w:cs="Times New Roman"/>
          <w:bCs/>
          <w:kern w:val="0"/>
          <w:sz w:val="24"/>
          <w:szCs w:val="24"/>
        </w:rPr>
        <w:t>绿色食品 新疆地区露地鲜食葡萄生产主要病虫害防治推荐农药使用方法</w:t>
      </w:r>
    </w:p>
    <w:p w14:paraId="1B45E211">
      <w:pPr>
        <w:widowControl/>
        <w:rPr>
          <w:rFonts w:hint="eastAsia" w:ascii="宋体" w:hAnsi="宋体" w:eastAsia="宋体" w:cs="Times New Roman"/>
          <w:b/>
          <w:bCs/>
          <w:kern w:val="0"/>
          <w:szCs w:val="21"/>
        </w:rPr>
      </w:pPr>
      <w:r>
        <w:rPr>
          <w:rFonts w:hint="eastAsia" w:ascii="宋体" w:hAnsi="宋体" w:eastAsia="宋体" w:cs="Times New Roman"/>
          <w:bCs/>
          <w:kern w:val="0"/>
          <w:szCs w:val="21"/>
        </w:rPr>
        <w:t>表A.1 绿色食品 新疆地区露地鲜食葡萄生产主要病虫害防治推荐农药使用方法</w:t>
      </w:r>
    </w:p>
    <w:p w14:paraId="5F5D130D">
      <w:pPr>
        <w:widowControl/>
        <w:jc w:val="center"/>
        <w:rPr>
          <w:rFonts w:hint="eastAsia" w:ascii="黑体" w:hAnsi="黑体" w:eastAsia="黑体" w:cs="Times New Roman"/>
          <w:bCs/>
          <w:kern w:val="0"/>
          <w:sz w:val="24"/>
          <w:szCs w:val="24"/>
        </w:rPr>
      </w:pPr>
      <w:bookmarkStart w:id="15" w:name="_Hlk224911197"/>
    </w:p>
    <w:p w14:paraId="7BF78695">
      <w:pPr>
        <w:widowControl/>
        <w:jc w:val="center"/>
        <w:rPr>
          <w:rFonts w:hint="eastAsia" w:ascii="黑体" w:hAnsi="黑体" w:eastAsia="黑体" w:cs="Times New Roman"/>
          <w:b/>
          <w:bCs/>
          <w:kern w:val="0"/>
          <w:sz w:val="24"/>
          <w:szCs w:val="24"/>
        </w:rPr>
      </w:pPr>
      <w:r>
        <w:rPr>
          <w:rFonts w:hint="eastAsia" w:ascii="黑体" w:hAnsi="黑体" w:eastAsia="黑体" w:cs="Times New Roman"/>
          <w:bCs/>
          <w:kern w:val="0"/>
          <w:sz w:val="24"/>
          <w:szCs w:val="24"/>
        </w:rPr>
        <w:t>表A.1绿色食品 新疆地区露地鲜食葡萄生产主要病虫害防治推荐农药使用方法</w:t>
      </w:r>
    </w:p>
    <w:bookmarkEnd w:id="15"/>
    <w:tbl>
      <w:tblPr>
        <w:tblStyle w:val="44"/>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126"/>
        <w:gridCol w:w="2126"/>
        <w:gridCol w:w="1701"/>
        <w:gridCol w:w="966"/>
        <w:gridCol w:w="1233"/>
      </w:tblGrid>
      <w:tr w14:paraId="6FF6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68B37D04">
            <w:pPr>
              <w:jc w:val="center"/>
              <w:rPr>
                <w:rFonts w:hint="eastAsia" w:ascii="宋体" w:hAnsi="宋体" w:eastAsia="宋体" w:cs="Times New Roman"/>
                <w:kern w:val="0"/>
                <w:szCs w:val="21"/>
              </w:rPr>
            </w:pPr>
            <w:r>
              <w:rPr>
                <w:rFonts w:hint="eastAsia" w:ascii="宋体" w:hAnsi="宋体" w:eastAsia="宋体" w:cs="Times New Roman"/>
                <w:kern w:val="0"/>
                <w:szCs w:val="21"/>
              </w:rPr>
              <w:t>防治对象</w:t>
            </w:r>
          </w:p>
        </w:tc>
        <w:tc>
          <w:tcPr>
            <w:tcW w:w="2126" w:type="dxa"/>
            <w:vAlign w:val="center"/>
          </w:tcPr>
          <w:p w14:paraId="48CFE9C7">
            <w:pPr>
              <w:jc w:val="center"/>
              <w:rPr>
                <w:rFonts w:hint="eastAsia" w:ascii="宋体" w:hAnsi="宋体" w:eastAsia="宋体" w:cs="Times New Roman"/>
                <w:kern w:val="0"/>
                <w:szCs w:val="21"/>
              </w:rPr>
            </w:pPr>
            <w:r>
              <w:rPr>
                <w:rFonts w:hint="eastAsia" w:ascii="宋体" w:hAnsi="宋体" w:eastAsia="宋体" w:cs="Times New Roman"/>
                <w:kern w:val="0"/>
                <w:szCs w:val="21"/>
              </w:rPr>
              <w:t>防治时期</w:t>
            </w:r>
          </w:p>
        </w:tc>
        <w:tc>
          <w:tcPr>
            <w:tcW w:w="2126" w:type="dxa"/>
            <w:vAlign w:val="center"/>
          </w:tcPr>
          <w:p w14:paraId="6B4863A3">
            <w:pPr>
              <w:jc w:val="center"/>
              <w:rPr>
                <w:rFonts w:hint="eastAsia" w:ascii="宋体" w:hAnsi="宋体" w:eastAsia="宋体" w:cs="Times New Roman"/>
                <w:kern w:val="0"/>
                <w:szCs w:val="21"/>
              </w:rPr>
            </w:pPr>
            <w:r>
              <w:rPr>
                <w:rFonts w:hint="eastAsia" w:ascii="宋体" w:hAnsi="宋体" w:eastAsia="宋体" w:cs="Times New Roman"/>
                <w:kern w:val="0"/>
                <w:szCs w:val="21"/>
              </w:rPr>
              <w:t>农药名称</w:t>
            </w:r>
          </w:p>
        </w:tc>
        <w:tc>
          <w:tcPr>
            <w:tcW w:w="1701" w:type="dxa"/>
            <w:vAlign w:val="center"/>
          </w:tcPr>
          <w:p w14:paraId="53235714">
            <w:pPr>
              <w:jc w:val="center"/>
              <w:rPr>
                <w:rFonts w:hint="eastAsia" w:ascii="宋体" w:hAnsi="宋体" w:eastAsia="宋体" w:cs="Times New Roman"/>
                <w:kern w:val="0"/>
                <w:szCs w:val="21"/>
              </w:rPr>
            </w:pPr>
            <w:r>
              <w:rPr>
                <w:rFonts w:hint="eastAsia" w:ascii="宋体" w:hAnsi="宋体" w:eastAsia="宋体" w:cs="Times New Roman"/>
                <w:kern w:val="0"/>
                <w:szCs w:val="21"/>
              </w:rPr>
              <w:t>使用剂量</w:t>
            </w:r>
          </w:p>
        </w:tc>
        <w:tc>
          <w:tcPr>
            <w:tcW w:w="966" w:type="dxa"/>
            <w:vAlign w:val="center"/>
          </w:tcPr>
          <w:p w14:paraId="0DD085A4">
            <w:pPr>
              <w:jc w:val="center"/>
              <w:rPr>
                <w:rFonts w:hint="eastAsia" w:ascii="宋体" w:hAnsi="宋体" w:eastAsia="宋体" w:cs="Times New Roman"/>
                <w:kern w:val="0"/>
                <w:szCs w:val="21"/>
              </w:rPr>
            </w:pPr>
            <w:r>
              <w:rPr>
                <w:rFonts w:hint="eastAsia" w:ascii="宋体" w:hAnsi="宋体" w:eastAsia="宋体" w:cs="Times New Roman"/>
                <w:kern w:val="0"/>
                <w:szCs w:val="21"/>
              </w:rPr>
              <w:t>使用方法</w:t>
            </w:r>
          </w:p>
        </w:tc>
        <w:tc>
          <w:tcPr>
            <w:tcW w:w="1233" w:type="dxa"/>
            <w:vAlign w:val="center"/>
          </w:tcPr>
          <w:p w14:paraId="13A3A339">
            <w:pPr>
              <w:jc w:val="center"/>
              <w:rPr>
                <w:rFonts w:hint="eastAsia" w:ascii="宋体" w:hAnsi="宋体" w:eastAsia="宋体" w:cs="Times New Roman"/>
                <w:kern w:val="0"/>
                <w:szCs w:val="21"/>
              </w:rPr>
            </w:pPr>
            <w:r>
              <w:rPr>
                <w:rFonts w:hint="eastAsia" w:ascii="宋体" w:hAnsi="宋体" w:eastAsia="宋体" w:cs="Times New Roman"/>
                <w:kern w:val="0"/>
                <w:szCs w:val="21"/>
              </w:rPr>
              <w:t>安全间隔期</w:t>
            </w:r>
          </w:p>
          <w:p w14:paraId="07B96F7E">
            <w:pPr>
              <w:jc w:val="center"/>
              <w:rPr>
                <w:rFonts w:hint="eastAsia" w:ascii="宋体" w:hAnsi="宋体" w:eastAsia="宋体" w:cs="Times New Roman"/>
                <w:kern w:val="0"/>
                <w:szCs w:val="21"/>
              </w:rPr>
            </w:pPr>
            <w:r>
              <w:rPr>
                <w:rFonts w:hint="eastAsia" w:ascii="宋体" w:hAnsi="宋体" w:eastAsia="宋体" w:cs="Times New Roman"/>
                <w:kern w:val="0"/>
                <w:szCs w:val="21"/>
              </w:rPr>
              <w:t>天数</w:t>
            </w:r>
          </w:p>
        </w:tc>
      </w:tr>
      <w:tr w14:paraId="4657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restart"/>
            <w:vAlign w:val="center"/>
          </w:tcPr>
          <w:p w14:paraId="6E1ED215">
            <w:pPr>
              <w:pStyle w:val="45"/>
              <w:widowControl w:val="0"/>
              <w:spacing w:line="360" w:lineRule="auto"/>
              <w:ind w:firstLine="0" w:firstLineChars="0"/>
              <w:jc w:val="center"/>
              <w:rPr>
                <w:rFonts w:hint="eastAsia" w:hAnsi="宋体" w:eastAsia="宋体" w:cs="Times New Roman"/>
                <w:szCs w:val="21"/>
              </w:rPr>
            </w:pPr>
            <w:r>
              <w:rPr>
                <w:rFonts w:hint="eastAsia" w:hAnsi="宋体" w:eastAsia="宋体" w:cs="Times New Roman"/>
                <w:szCs w:val="21"/>
              </w:rPr>
              <w:t>穗轴褐枯病</w:t>
            </w:r>
          </w:p>
        </w:tc>
        <w:tc>
          <w:tcPr>
            <w:tcW w:w="2126" w:type="dxa"/>
            <w:vAlign w:val="center"/>
          </w:tcPr>
          <w:p w14:paraId="2F6E6E2F">
            <w:pPr>
              <w:pStyle w:val="45"/>
              <w:widowControl w:val="0"/>
              <w:spacing w:line="360" w:lineRule="auto"/>
              <w:ind w:firstLine="0" w:firstLineChars="0"/>
              <w:jc w:val="center"/>
              <w:rPr>
                <w:rFonts w:hint="eastAsia" w:hAnsi="宋体" w:eastAsia="宋体" w:cs="Times New Roman"/>
                <w:szCs w:val="21"/>
              </w:rPr>
            </w:pPr>
            <w:r>
              <w:rPr>
                <w:rFonts w:hint="eastAsia" w:hAnsi="宋体" w:eastAsia="宋体" w:cs="Times New Roman"/>
                <w:szCs w:val="21"/>
              </w:rPr>
              <w:t>病害发生初期</w:t>
            </w:r>
          </w:p>
        </w:tc>
        <w:tc>
          <w:tcPr>
            <w:tcW w:w="2126" w:type="dxa"/>
            <w:vAlign w:val="center"/>
          </w:tcPr>
          <w:p w14:paraId="3A85D2F9">
            <w:pPr>
              <w:pStyle w:val="45"/>
              <w:widowControl w:val="0"/>
              <w:spacing w:line="360" w:lineRule="auto"/>
              <w:ind w:firstLine="0" w:firstLineChars="0"/>
              <w:jc w:val="center"/>
              <w:rPr>
                <w:rFonts w:hint="eastAsia" w:hAnsi="宋体" w:eastAsia="宋体" w:cs="Times New Roman"/>
                <w:szCs w:val="21"/>
              </w:rPr>
            </w:pPr>
            <w:r>
              <w:rPr>
                <w:rFonts w:hint="eastAsia" w:hAnsi="宋体" w:eastAsia="宋体" w:cs="Times New Roman"/>
                <w:szCs w:val="21"/>
              </w:rPr>
              <w:t>80%波尔多液</w:t>
            </w:r>
          </w:p>
        </w:tc>
        <w:tc>
          <w:tcPr>
            <w:tcW w:w="1701" w:type="dxa"/>
            <w:vAlign w:val="center"/>
          </w:tcPr>
          <w:p w14:paraId="3AFB6264">
            <w:pPr>
              <w:pStyle w:val="45"/>
              <w:widowControl w:val="0"/>
              <w:spacing w:line="360" w:lineRule="auto"/>
              <w:ind w:firstLine="0" w:firstLineChars="0"/>
              <w:jc w:val="center"/>
              <w:rPr>
                <w:rFonts w:hint="eastAsia" w:hAnsi="宋体" w:eastAsia="宋体" w:cs="Times New Roman"/>
                <w:szCs w:val="21"/>
              </w:rPr>
            </w:pPr>
            <w:r>
              <w:rPr>
                <w:rFonts w:hint="eastAsia" w:hAnsi="宋体" w:eastAsia="宋体" w:cs="Times New Roman"/>
                <w:szCs w:val="21"/>
              </w:rPr>
              <w:t>300～400倍液</w:t>
            </w:r>
          </w:p>
        </w:tc>
        <w:tc>
          <w:tcPr>
            <w:tcW w:w="966" w:type="dxa"/>
            <w:vAlign w:val="center"/>
          </w:tcPr>
          <w:p w14:paraId="58FA5830">
            <w:pPr>
              <w:pStyle w:val="45"/>
              <w:widowControl w:val="0"/>
              <w:spacing w:line="360" w:lineRule="auto"/>
              <w:ind w:firstLine="0" w:firstLineChars="0"/>
              <w:jc w:val="center"/>
              <w:rPr>
                <w:rFonts w:hint="eastAsia" w:hAnsi="宋体" w:eastAsia="宋体" w:cs="Times New Roman"/>
                <w:szCs w:val="21"/>
              </w:rPr>
            </w:pPr>
            <w:r>
              <w:rPr>
                <w:rFonts w:hint="eastAsia" w:hAnsi="宋体" w:eastAsia="宋体" w:cs="Times New Roman"/>
                <w:szCs w:val="21"/>
              </w:rPr>
              <w:t>喷雾</w:t>
            </w:r>
          </w:p>
        </w:tc>
        <w:tc>
          <w:tcPr>
            <w:tcW w:w="1233" w:type="dxa"/>
            <w:vAlign w:val="center"/>
          </w:tcPr>
          <w:p w14:paraId="17161CAE">
            <w:pPr>
              <w:pStyle w:val="45"/>
              <w:widowControl w:val="0"/>
              <w:spacing w:line="360" w:lineRule="auto"/>
              <w:ind w:firstLine="0" w:firstLineChars="0"/>
              <w:jc w:val="center"/>
              <w:rPr>
                <w:rFonts w:hint="eastAsia" w:hAnsi="宋体" w:eastAsia="宋体" w:cs="Times New Roman"/>
                <w:szCs w:val="21"/>
              </w:rPr>
            </w:pPr>
            <w:r>
              <w:rPr>
                <w:rFonts w:hint="eastAsia" w:hAnsi="宋体" w:eastAsia="宋体" w:cs="Times New Roman"/>
                <w:szCs w:val="21"/>
              </w:rPr>
              <w:t>10</w:t>
            </w:r>
          </w:p>
        </w:tc>
      </w:tr>
      <w:tr w14:paraId="055A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14:paraId="12BFC38F">
            <w:pPr>
              <w:pStyle w:val="45"/>
              <w:widowControl w:val="0"/>
              <w:spacing w:line="360" w:lineRule="auto"/>
              <w:ind w:firstLine="0" w:firstLineChars="0"/>
              <w:jc w:val="center"/>
              <w:rPr>
                <w:rFonts w:hint="eastAsia" w:hAnsi="宋体" w:eastAsia="宋体" w:cs="Times New Roman"/>
                <w:szCs w:val="21"/>
              </w:rPr>
            </w:pPr>
          </w:p>
        </w:tc>
        <w:tc>
          <w:tcPr>
            <w:tcW w:w="2126" w:type="dxa"/>
            <w:vAlign w:val="center"/>
          </w:tcPr>
          <w:p w14:paraId="61BDF8B9">
            <w:pPr>
              <w:pStyle w:val="45"/>
              <w:widowControl w:val="0"/>
              <w:spacing w:line="360" w:lineRule="auto"/>
              <w:ind w:firstLine="0" w:firstLineChars="0"/>
              <w:jc w:val="center"/>
              <w:rPr>
                <w:rFonts w:hint="eastAsia" w:hAnsi="宋体" w:eastAsia="宋体" w:cs="Times New Roman"/>
                <w:szCs w:val="21"/>
              </w:rPr>
            </w:pPr>
            <w:r>
              <w:rPr>
                <w:rFonts w:hint="eastAsia" w:hAnsi="宋体" w:eastAsia="宋体" w:cs="Times New Roman"/>
                <w:szCs w:val="21"/>
              </w:rPr>
              <w:t>病害发生初期</w:t>
            </w:r>
          </w:p>
        </w:tc>
        <w:tc>
          <w:tcPr>
            <w:tcW w:w="2126" w:type="dxa"/>
            <w:vAlign w:val="center"/>
          </w:tcPr>
          <w:p w14:paraId="4FFBBEC0">
            <w:pPr>
              <w:pStyle w:val="45"/>
              <w:widowControl w:val="0"/>
              <w:spacing w:line="360" w:lineRule="auto"/>
              <w:ind w:firstLine="0" w:firstLineChars="0"/>
              <w:jc w:val="center"/>
              <w:rPr>
                <w:rFonts w:hint="eastAsia" w:hAnsi="宋体" w:eastAsia="宋体" w:cs="Times New Roman"/>
                <w:szCs w:val="21"/>
              </w:rPr>
            </w:pPr>
            <w:r>
              <w:rPr>
                <w:rFonts w:hint="eastAsia" w:hAnsi="宋体" w:eastAsia="宋体" w:cs="Times New Roman"/>
                <w:szCs w:val="21"/>
              </w:rPr>
              <w:t>70%代森锰锌可湿性粉剂</w:t>
            </w:r>
          </w:p>
        </w:tc>
        <w:tc>
          <w:tcPr>
            <w:tcW w:w="1701" w:type="dxa"/>
            <w:vAlign w:val="center"/>
          </w:tcPr>
          <w:p w14:paraId="07D1BB06">
            <w:pPr>
              <w:pStyle w:val="45"/>
              <w:widowControl w:val="0"/>
              <w:spacing w:line="360" w:lineRule="auto"/>
              <w:ind w:firstLine="0" w:firstLineChars="0"/>
              <w:jc w:val="center"/>
              <w:rPr>
                <w:rFonts w:hint="eastAsia" w:hAnsi="宋体" w:eastAsia="宋体" w:cs="Times New Roman"/>
                <w:szCs w:val="21"/>
              </w:rPr>
            </w:pPr>
            <w:r>
              <w:rPr>
                <w:rFonts w:hint="eastAsia" w:hAnsi="宋体" w:eastAsia="宋体" w:cs="Times New Roman"/>
                <w:szCs w:val="21"/>
              </w:rPr>
              <w:t>500</w:t>
            </w:r>
            <w:r>
              <w:rPr>
                <w:rFonts w:hint="eastAsia" w:hAnsi="宋体" w:eastAsia="宋体" w:cs="宋体"/>
                <w:kern w:val="2"/>
                <w:szCs w:val="21"/>
              </w:rPr>
              <w:t>～</w:t>
            </w:r>
            <w:r>
              <w:rPr>
                <w:rFonts w:hint="eastAsia" w:hAnsi="宋体" w:eastAsia="宋体" w:cs="Times New Roman"/>
                <w:szCs w:val="21"/>
              </w:rPr>
              <w:t>700倍液</w:t>
            </w:r>
          </w:p>
        </w:tc>
        <w:tc>
          <w:tcPr>
            <w:tcW w:w="966" w:type="dxa"/>
            <w:vAlign w:val="center"/>
          </w:tcPr>
          <w:p w14:paraId="14007E8B">
            <w:pPr>
              <w:pStyle w:val="45"/>
              <w:widowControl w:val="0"/>
              <w:spacing w:line="360" w:lineRule="auto"/>
              <w:ind w:firstLine="0" w:firstLineChars="0"/>
              <w:jc w:val="center"/>
              <w:rPr>
                <w:rFonts w:hint="eastAsia" w:hAnsi="宋体" w:eastAsia="宋体" w:cs="Times New Roman"/>
                <w:szCs w:val="21"/>
              </w:rPr>
            </w:pPr>
            <w:r>
              <w:rPr>
                <w:rFonts w:hint="eastAsia" w:hAnsi="宋体" w:eastAsia="宋体" w:cs="Times New Roman"/>
                <w:szCs w:val="21"/>
              </w:rPr>
              <w:t>喷雾</w:t>
            </w:r>
          </w:p>
        </w:tc>
        <w:tc>
          <w:tcPr>
            <w:tcW w:w="1233" w:type="dxa"/>
            <w:vAlign w:val="center"/>
          </w:tcPr>
          <w:p w14:paraId="72035829">
            <w:pPr>
              <w:pStyle w:val="45"/>
              <w:widowControl w:val="0"/>
              <w:spacing w:line="360" w:lineRule="auto"/>
              <w:ind w:firstLine="0" w:firstLineChars="0"/>
              <w:jc w:val="center"/>
              <w:rPr>
                <w:rFonts w:hint="eastAsia" w:hAnsi="宋体" w:eastAsia="宋体" w:cs="Times New Roman"/>
                <w:szCs w:val="21"/>
              </w:rPr>
            </w:pPr>
            <w:r>
              <w:rPr>
                <w:rFonts w:hint="eastAsia" w:hAnsi="宋体" w:eastAsia="宋体" w:cs="Times New Roman"/>
                <w:szCs w:val="21"/>
              </w:rPr>
              <w:t>14</w:t>
            </w:r>
          </w:p>
        </w:tc>
      </w:tr>
      <w:tr w14:paraId="15FD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restart"/>
            <w:vAlign w:val="center"/>
          </w:tcPr>
          <w:p w14:paraId="6A2CDBA8">
            <w:pPr>
              <w:pStyle w:val="45"/>
              <w:widowControl w:val="0"/>
              <w:spacing w:line="360" w:lineRule="auto"/>
              <w:ind w:firstLine="0" w:firstLineChars="0"/>
              <w:jc w:val="center"/>
              <w:rPr>
                <w:rFonts w:hint="eastAsia" w:hAnsi="宋体" w:eastAsia="宋体" w:cs="Times New Roman"/>
                <w:szCs w:val="21"/>
              </w:rPr>
            </w:pPr>
            <w:r>
              <w:rPr>
                <w:rFonts w:hint="eastAsia" w:hAnsi="宋体" w:eastAsia="宋体" w:cs="Times New Roman"/>
                <w:szCs w:val="21"/>
              </w:rPr>
              <w:t>霜霉病</w:t>
            </w:r>
          </w:p>
        </w:tc>
        <w:tc>
          <w:tcPr>
            <w:tcW w:w="2126" w:type="dxa"/>
            <w:vAlign w:val="center"/>
          </w:tcPr>
          <w:p w14:paraId="55F3A4C8">
            <w:pPr>
              <w:pStyle w:val="45"/>
              <w:widowControl w:val="0"/>
              <w:spacing w:line="360" w:lineRule="auto"/>
              <w:ind w:firstLine="0" w:firstLineChars="0"/>
              <w:jc w:val="center"/>
              <w:rPr>
                <w:rFonts w:hint="eastAsia" w:hAnsi="宋体" w:eastAsia="宋体" w:cs="Times New Roman"/>
                <w:szCs w:val="21"/>
              </w:rPr>
            </w:pPr>
            <w:r>
              <w:rPr>
                <w:rFonts w:hint="eastAsia" w:hAnsi="宋体" w:eastAsia="宋体" w:cs="Times New Roman"/>
                <w:szCs w:val="21"/>
              </w:rPr>
              <w:t>发病前期或发病初期</w:t>
            </w:r>
          </w:p>
        </w:tc>
        <w:tc>
          <w:tcPr>
            <w:tcW w:w="2126" w:type="dxa"/>
            <w:vAlign w:val="center"/>
          </w:tcPr>
          <w:p w14:paraId="7F0563F2">
            <w:pPr>
              <w:pStyle w:val="45"/>
              <w:widowControl w:val="0"/>
              <w:spacing w:line="360" w:lineRule="auto"/>
              <w:ind w:firstLine="0" w:firstLineChars="0"/>
              <w:jc w:val="center"/>
              <w:rPr>
                <w:rFonts w:hint="eastAsia" w:hAnsi="宋体" w:eastAsia="宋体" w:cs="Times New Roman"/>
                <w:szCs w:val="21"/>
              </w:rPr>
            </w:pPr>
            <w:r>
              <w:rPr>
                <w:rFonts w:hint="eastAsia" w:hAnsi="宋体" w:eastAsia="宋体" w:cs="Times New Roman"/>
                <w:szCs w:val="21"/>
              </w:rPr>
              <w:t>50%烯酰吗啉可湿性粉剂</w:t>
            </w:r>
          </w:p>
        </w:tc>
        <w:tc>
          <w:tcPr>
            <w:tcW w:w="1701" w:type="dxa"/>
            <w:vAlign w:val="center"/>
          </w:tcPr>
          <w:p w14:paraId="0CD82C36">
            <w:pPr>
              <w:pStyle w:val="45"/>
              <w:widowControl w:val="0"/>
              <w:spacing w:line="360" w:lineRule="auto"/>
              <w:ind w:firstLine="0" w:firstLineChars="0"/>
              <w:jc w:val="center"/>
              <w:rPr>
                <w:rFonts w:hint="eastAsia" w:hAnsi="宋体" w:eastAsia="宋体" w:cs="Times New Roman"/>
                <w:szCs w:val="21"/>
              </w:rPr>
            </w:pPr>
            <w:r>
              <w:rPr>
                <w:rFonts w:hint="eastAsia" w:hAnsi="宋体" w:eastAsia="宋体" w:cs="Times New Roman"/>
                <w:szCs w:val="21"/>
              </w:rPr>
              <w:t>1800</w:t>
            </w:r>
            <w:r>
              <w:rPr>
                <w:rFonts w:hint="eastAsia" w:hAnsi="宋体" w:eastAsia="宋体" w:cs="宋体"/>
                <w:kern w:val="2"/>
                <w:szCs w:val="21"/>
              </w:rPr>
              <w:t>～25</w:t>
            </w:r>
            <w:r>
              <w:rPr>
                <w:rFonts w:hint="eastAsia" w:hAnsi="宋体" w:eastAsia="宋体" w:cs="Times New Roman"/>
                <w:szCs w:val="21"/>
              </w:rPr>
              <w:t>00倍液</w:t>
            </w:r>
          </w:p>
        </w:tc>
        <w:tc>
          <w:tcPr>
            <w:tcW w:w="966" w:type="dxa"/>
            <w:vAlign w:val="center"/>
          </w:tcPr>
          <w:p w14:paraId="5C24B94E">
            <w:pPr>
              <w:pStyle w:val="45"/>
              <w:widowControl w:val="0"/>
              <w:spacing w:line="360" w:lineRule="auto"/>
              <w:ind w:firstLine="0" w:firstLineChars="0"/>
              <w:jc w:val="center"/>
              <w:rPr>
                <w:rFonts w:hint="eastAsia" w:hAnsi="宋体" w:eastAsia="宋体" w:cs="Times New Roman"/>
                <w:szCs w:val="21"/>
              </w:rPr>
            </w:pPr>
            <w:r>
              <w:rPr>
                <w:rFonts w:hint="eastAsia" w:hAnsi="宋体" w:eastAsia="宋体" w:cs="Times New Roman"/>
                <w:szCs w:val="21"/>
              </w:rPr>
              <w:t>喷雾</w:t>
            </w:r>
          </w:p>
        </w:tc>
        <w:tc>
          <w:tcPr>
            <w:tcW w:w="1233" w:type="dxa"/>
            <w:vAlign w:val="center"/>
          </w:tcPr>
          <w:p w14:paraId="07E5CD31">
            <w:pPr>
              <w:pStyle w:val="45"/>
              <w:widowControl w:val="0"/>
              <w:spacing w:line="360" w:lineRule="auto"/>
              <w:ind w:firstLine="0" w:firstLineChars="0"/>
              <w:jc w:val="center"/>
              <w:rPr>
                <w:rFonts w:hint="eastAsia" w:hAnsi="宋体" w:eastAsia="宋体" w:cs="Times New Roman"/>
                <w:szCs w:val="21"/>
              </w:rPr>
            </w:pPr>
            <w:r>
              <w:rPr>
                <w:rFonts w:hint="eastAsia" w:hAnsi="宋体" w:eastAsia="宋体" w:cs="Times New Roman"/>
                <w:szCs w:val="21"/>
              </w:rPr>
              <w:t>20</w:t>
            </w:r>
          </w:p>
        </w:tc>
      </w:tr>
      <w:tr w14:paraId="7456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14:paraId="385E39C3">
            <w:pPr>
              <w:pStyle w:val="45"/>
              <w:widowControl w:val="0"/>
              <w:spacing w:line="360" w:lineRule="auto"/>
              <w:ind w:firstLine="0" w:firstLineChars="0"/>
              <w:jc w:val="center"/>
              <w:rPr>
                <w:rFonts w:hint="eastAsia" w:hAnsi="宋体" w:eastAsia="宋体" w:cs="Times New Roman"/>
                <w:szCs w:val="21"/>
              </w:rPr>
            </w:pPr>
          </w:p>
        </w:tc>
        <w:tc>
          <w:tcPr>
            <w:tcW w:w="2126" w:type="dxa"/>
            <w:vAlign w:val="center"/>
          </w:tcPr>
          <w:p w14:paraId="11DAB566">
            <w:pPr>
              <w:pStyle w:val="45"/>
              <w:widowControl w:val="0"/>
              <w:spacing w:line="360" w:lineRule="auto"/>
              <w:ind w:firstLine="0" w:firstLineChars="0"/>
              <w:jc w:val="center"/>
              <w:rPr>
                <w:rFonts w:hint="eastAsia" w:hAnsi="宋体" w:eastAsia="宋体" w:cs="Times New Roman"/>
                <w:szCs w:val="21"/>
              </w:rPr>
            </w:pPr>
            <w:r>
              <w:rPr>
                <w:rFonts w:hint="eastAsia" w:hAnsi="宋体" w:eastAsia="宋体" w:cs="Times New Roman"/>
                <w:szCs w:val="21"/>
              </w:rPr>
              <w:t>病害发生初期</w:t>
            </w:r>
          </w:p>
        </w:tc>
        <w:tc>
          <w:tcPr>
            <w:tcW w:w="2126" w:type="dxa"/>
            <w:vAlign w:val="center"/>
          </w:tcPr>
          <w:p w14:paraId="0E6DCF71">
            <w:pPr>
              <w:pStyle w:val="45"/>
              <w:widowControl w:val="0"/>
              <w:spacing w:line="360" w:lineRule="auto"/>
              <w:ind w:firstLine="0" w:firstLineChars="0"/>
              <w:jc w:val="center"/>
              <w:rPr>
                <w:rFonts w:hint="eastAsia" w:hAnsi="宋体" w:eastAsia="宋体" w:cs="Times New Roman"/>
                <w:szCs w:val="21"/>
              </w:rPr>
            </w:pPr>
            <w:r>
              <w:rPr>
                <w:rFonts w:hint="eastAsia" w:hAnsi="宋体" w:eastAsia="宋体" w:cs="Times New Roman"/>
                <w:szCs w:val="21"/>
              </w:rPr>
              <w:t>80%波尔多液</w:t>
            </w:r>
          </w:p>
        </w:tc>
        <w:tc>
          <w:tcPr>
            <w:tcW w:w="1701" w:type="dxa"/>
            <w:vAlign w:val="center"/>
          </w:tcPr>
          <w:p w14:paraId="25BBDD2C">
            <w:pPr>
              <w:pStyle w:val="45"/>
              <w:widowControl w:val="0"/>
              <w:spacing w:line="360" w:lineRule="auto"/>
              <w:ind w:firstLine="0" w:firstLineChars="0"/>
              <w:jc w:val="center"/>
              <w:rPr>
                <w:rFonts w:hint="eastAsia" w:hAnsi="宋体" w:eastAsia="宋体" w:cs="Times New Roman"/>
                <w:szCs w:val="21"/>
              </w:rPr>
            </w:pPr>
            <w:r>
              <w:rPr>
                <w:rFonts w:hint="eastAsia" w:hAnsi="宋体" w:eastAsia="宋体" w:cs="Times New Roman"/>
                <w:szCs w:val="21"/>
              </w:rPr>
              <w:t>300</w:t>
            </w:r>
            <w:r>
              <w:rPr>
                <w:rFonts w:hint="eastAsia" w:hAnsi="宋体" w:eastAsia="宋体" w:cs="宋体"/>
                <w:kern w:val="2"/>
                <w:szCs w:val="21"/>
              </w:rPr>
              <w:t>～4</w:t>
            </w:r>
            <w:r>
              <w:rPr>
                <w:rFonts w:hint="eastAsia" w:hAnsi="宋体" w:eastAsia="宋体" w:cs="Times New Roman"/>
                <w:szCs w:val="21"/>
              </w:rPr>
              <w:t>00倍液</w:t>
            </w:r>
          </w:p>
        </w:tc>
        <w:tc>
          <w:tcPr>
            <w:tcW w:w="966" w:type="dxa"/>
            <w:vAlign w:val="center"/>
          </w:tcPr>
          <w:p w14:paraId="3320A086">
            <w:pPr>
              <w:pStyle w:val="45"/>
              <w:widowControl w:val="0"/>
              <w:spacing w:line="360" w:lineRule="auto"/>
              <w:ind w:firstLine="0" w:firstLineChars="0"/>
              <w:jc w:val="center"/>
              <w:rPr>
                <w:rFonts w:hint="eastAsia" w:hAnsi="宋体" w:eastAsia="宋体" w:cs="Times New Roman"/>
                <w:szCs w:val="21"/>
              </w:rPr>
            </w:pPr>
            <w:r>
              <w:rPr>
                <w:rFonts w:hint="eastAsia" w:hAnsi="宋体" w:eastAsia="宋体" w:cs="Times New Roman"/>
                <w:szCs w:val="21"/>
              </w:rPr>
              <w:t>喷雾</w:t>
            </w:r>
          </w:p>
        </w:tc>
        <w:tc>
          <w:tcPr>
            <w:tcW w:w="1233" w:type="dxa"/>
            <w:vAlign w:val="center"/>
          </w:tcPr>
          <w:p w14:paraId="05BB0FB9">
            <w:pPr>
              <w:pStyle w:val="45"/>
              <w:widowControl w:val="0"/>
              <w:spacing w:line="360" w:lineRule="auto"/>
              <w:ind w:firstLine="0" w:firstLineChars="0"/>
              <w:jc w:val="center"/>
              <w:rPr>
                <w:rFonts w:hint="eastAsia" w:hAnsi="宋体" w:eastAsia="宋体" w:cs="Times New Roman"/>
                <w:szCs w:val="21"/>
              </w:rPr>
            </w:pPr>
            <w:r>
              <w:rPr>
                <w:rFonts w:hint="eastAsia" w:hAnsi="宋体" w:eastAsia="宋体" w:cs="Times New Roman"/>
                <w:szCs w:val="21"/>
              </w:rPr>
              <w:t>10</w:t>
            </w:r>
          </w:p>
        </w:tc>
      </w:tr>
      <w:tr w14:paraId="5260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420CC28D">
            <w:pPr>
              <w:pStyle w:val="45"/>
              <w:widowControl w:val="0"/>
              <w:spacing w:line="360" w:lineRule="auto"/>
              <w:ind w:firstLine="0" w:firstLineChars="0"/>
              <w:jc w:val="center"/>
              <w:rPr>
                <w:rFonts w:hint="eastAsia" w:hAnsi="宋体" w:eastAsia="宋体" w:cs="Times New Roman"/>
                <w:szCs w:val="21"/>
              </w:rPr>
            </w:pPr>
            <w:r>
              <w:rPr>
                <w:rFonts w:hint="eastAsia" w:hAnsi="宋体" w:eastAsia="宋体" w:cs="Times New Roman"/>
                <w:szCs w:val="21"/>
              </w:rPr>
              <w:t>白粉病</w:t>
            </w:r>
          </w:p>
        </w:tc>
        <w:tc>
          <w:tcPr>
            <w:tcW w:w="2126" w:type="dxa"/>
            <w:vAlign w:val="center"/>
          </w:tcPr>
          <w:p w14:paraId="7E906F83">
            <w:pPr>
              <w:pStyle w:val="45"/>
              <w:widowControl w:val="0"/>
              <w:spacing w:line="360" w:lineRule="auto"/>
              <w:ind w:firstLine="0" w:firstLineChars="0"/>
              <w:jc w:val="center"/>
              <w:rPr>
                <w:rFonts w:hint="eastAsia" w:hAnsi="宋体" w:eastAsia="宋体" w:cs="Times New Roman"/>
                <w:szCs w:val="21"/>
              </w:rPr>
            </w:pPr>
            <w:r>
              <w:rPr>
                <w:rFonts w:hint="eastAsia" w:hAnsi="宋体" w:eastAsia="宋体" w:cs="Times New Roman"/>
                <w:szCs w:val="21"/>
              </w:rPr>
              <w:t>病害发生初期</w:t>
            </w:r>
          </w:p>
        </w:tc>
        <w:tc>
          <w:tcPr>
            <w:tcW w:w="2126" w:type="dxa"/>
            <w:vAlign w:val="center"/>
          </w:tcPr>
          <w:p w14:paraId="0613020F">
            <w:pPr>
              <w:pStyle w:val="45"/>
              <w:widowControl w:val="0"/>
              <w:spacing w:line="360" w:lineRule="auto"/>
              <w:ind w:firstLine="0" w:firstLineChars="0"/>
              <w:jc w:val="center"/>
              <w:rPr>
                <w:rFonts w:hint="eastAsia" w:hAnsi="宋体" w:eastAsia="宋体" w:cs="Times New Roman"/>
                <w:szCs w:val="21"/>
              </w:rPr>
            </w:pPr>
            <w:r>
              <w:rPr>
                <w:rFonts w:hint="eastAsia" w:hAnsi="宋体" w:eastAsia="宋体" w:cs="Times New Roman"/>
                <w:szCs w:val="21"/>
              </w:rPr>
              <w:t>70%代森锰锌可湿性粉剂</w:t>
            </w:r>
          </w:p>
        </w:tc>
        <w:tc>
          <w:tcPr>
            <w:tcW w:w="1701" w:type="dxa"/>
            <w:vAlign w:val="center"/>
          </w:tcPr>
          <w:p w14:paraId="2242AA88">
            <w:pPr>
              <w:pStyle w:val="45"/>
              <w:widowControl w:val="0"/>
              <w:spacing w:line="360" w:lineRule="auto"/>
              <w:ind w:firstLine="0" w:firstLineChars="0"/>
              <w:jc w:val="center"/>
              <w:rPr>
                <w:rFonts w:hint="eastAsia" w:hAnsi="宋体" w:eastAsia="宋体" w:cs="Times New Roman"/>
                <w:szCs w:val="21"/>
              </w:rPr>
            </w:pPr>
            <w:r>
              <w:rPr>
                <w:rFonts w:hint="eastAsia" w:hAnsi="宋体" w:eastAsia="宋体" w:cs="Times New Roman"/>
                <w:szCs w:val="21"/>
              </w:rPr>
              <w:t>500</w:t>
            </w:r>
            <w:r>
              <w:rPr>
                <w:rFonts w:hint="eastAsia" w:hAnsi="宋体" w:eastAsia="宋体" w:cs="宋体"/>
                <w:kern w:val="2"/>
                <w:szCs w:val="21"/>
              </w:rPr>
              <w:t>～</w:t>
            </w:r>
            <w:r>
              <w:rPr>
                <w:rFonts w:hint="eastAsia" w:hAnsi="宋体" w:eastAsia="宋体" w:cs="Times New Roman"/>
                <w:szCs w:val="21"/>
              </w:rPr>
              <w:t>700倍液</w:t>
            </w:r>
          </w:p>
        </w:tc>
        <w:tc>
          <w:tcPr>
            <w:tcW w:w="966" w:type="dxa"/>
            <w:vAlign w:val="center"/>
          </w:tcPr>
          <w:p w14:paraId="7294D5E8">
            <w:pPr>
              <w:pStyle w:val="45"/>
              <w:widowControl w:val="0"/>
              <w:spacing w:line="360" w:lineRule="auto"/>
              <w:ind w:firstLine="0" w:firstLineChars="0"/>
              <w:jc w:val="center"/>
              <w:rPr>
                <w:rFonts w:hint="eastAsia" w:hAnsi="宋体" w:eastAsia="宋体" w:cs="Times New Roman"/>
                <w:szCs w:val="21"/>
              </w:rPr>
            </w:pPr>
            <w:r>
              <w:rPr>
                <w:rFonts w:hint="eastAsia" w:hAnsi="宋体" w:eastAsia="宋体" w:cs="Times New Roman"/>
                <w:szCs w:val="21"/>
              </w:rPr>
              <w:t>喷雾</w:t>
            </w:r>
          </w:p>
        </w:tc>
        <w:tc>
          <w:tcPr>
            <w:tcW w:w="1233" w:type="dxa"/>
            <w:vAlign w:val="center"/>
          </w:tcPr>
          <w:p w14:paraId="52DF0F74">
            <w:pPr>
              <w:pStyle w:val="45"/>
              <w:widowControl w:val="0"/>
              <w:spacing w:line="360" w:lineRule="auto"/>
              <w:ind w:firstLine="0" w:firstLineChars="0"/>
              <w:jc w:val="center"/>
              <w:rPr>
                <w:rFonts w:hint="eastAsia" w:hAnsi="宋体" w:eastAsia="宋体" w:cs="Times New Roman"/>
                <w:szCs w:val="21"/>
              </w:rPr>
            </w:pPr>
            <w:r>
              <w:rPr>
                <w:rFonts w:hint="eastAsia" w:hAnsi="宋体" w:eastAsia="宋体" w:cs="Times New Roman"/>
                <w:szCs w:val="21"/>
              </w:rPr>
              <w:t>14</w:t>
            </w:r>
          </w:p>
        </w:tc>
      </w:tr>
      <w:tr w14:paraId="307D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645ECB3F">
            <w:pPr>
              <w:pStyle w:val="45"/>
              <w:widowControl w:val="0"/>
              <w:spacing w:line="360" w:lineRule="auto"/>
              <w:ind w:firstLine="0" w:firstLineChars="0"/>
              <w:jc w:val="center"/>
              <w:rPr>
                <w:rFonts w:hint="eastAsia" w:hAnsi="宋体" w:eastAsia="宋体" w:cs="Times New Roman"/>
                <w:szCs w:val="21"/>
              </w:rPr>
            </w:pPr>
            <w:r>
              <w:rPr>
                <w:rFonts w:hint="eastAsia" w:hAnsi="宋体" w:eastAsia="宋体" w:cs="Times New Roman"/>
                <w:szCs w:val="21"/>
              </w:rPr>
              <w:t>毛毡病</w:t>
            </w:r>
          </w:p>
        </w:tc>
        <w:tc>
          <w:tcPr>
            <w:tcW w:w="2126" w:type="dxa"/>
            <w:vAlign w:val="center"/>
          </w:tcPr>
          <w:p w14:paraId="23A8254D">
            <w:pPr>
              <w:pStyle w:val="45"/>
              <w:widowControl w:val="0"/>
              <w:spacing w:line="360" w:lineRule="auto"/>
              <w:ind w:firstLine="0" w:firstLineChars="0"/>
              <w:jc w:val="center"/>
              <w:rPr>
                <w:rFonts w:hint="eastAsia" w:hAnsi="宋体" w:eastAsia="宋体" w:cs="Times New Roman"/>
                <w:szCs w:val="21"/>
              </w:rPr>
            </w:pPr>
            <w:r>
              <w:rPr>
                <w:rFonts w:hint="eastAsia" w:hAnsi="宋体" w:eastAsia="宋体" w:cs="Times New Roman"/>
                <w:szCs w:val="21"/>
              </w:rPr>
              <w:t>病菌感染初期</w:t>
            </w:r>
          </w:p>
        </w:tc>
        <w:tc>
          <w:tcPr>
            <w:tcW w:w="2126" w:type="dxa"/>
            <w:vAlign w:val="center"/>
          </w:tcPr>
          <w:p w14:paraId="04ABC6A7">
            <w:pPr>
              <w:pStyle w:val="45"/>
              <w:widowControl w:val="0"/>
              <w:spacing w:line="360" w:lineRule="auto"/>
              <w:ind w:firstLine="0" w:firstLineChars="0"/>
              <w:jc w:val="center"/>
              <w:rPr>
                <w:rFonts w:hint="eastAsia" w:hAnsi="宋体" w:eastAsia="宋体" w:cs="Times New Roman"/>
                <w:szCs w:val="21"/>
              </w:rPr>
            </w:pPr>
            <w:r>
              <w:rPr>
                <w:rFonts w:hint="eastAsia" w:hAnsi="宋体" w:eastAsia="宋体" w:cs="Times New Roman"/>
                <w:szCs w:val="21"/>
              </w:rPr>
              <w:t>29%石硫合剂水剂</w:t>
            </w:r>
          </w:p>
        </w:tc>
        <w:tc>
          <w:tcPr>
            <w:tcW w:w="1701" w:type="dxa"/>
            <w:vAlign w:val="center"/>
          </w:tcPr>
          <w:p w14:paraId="4CF0B9AD">
            <w:pPr>
              <w:pStyle w:val="45"/>
              <w:widowControl w:val="0"/>
              <w:spacing w:line="360" w:lineRule="auto"/>
              <w:ind w:firstLine="0" w:firstLineChars="0"/>
              <w:jc w:val="center"/>
              <w:rPr>
                <w:rFonts w:hint="eastAsia" w:hAnsi="宋体" w:eastAsia="宋体" w:cs="Times New Roman"/>
                <w:szCs w:val="21"/>
              </w:rPr>
            </w:pPr>
            <w:r>
              <w:rPr>
                <w:rFonts w:hAnsi="宋体" w:eastAsia="宋体" w:cs="Times New Roman"/>
                <w:szCs w:val="21"/>
              </w:rPr>
              <w:t>6</w:t>
            </w:r>
            <w:r>
              <w:rPr>
                <w:rFonts w:hint="eastAsia" w:hAnsi="宋体" w:eastAsia="宋体" w:cs="宋体"/>
                <w:kern w:val="2"/>
                <w:szCs w:val="21"/>
              </w:rPr>
              <w:t>～</w:t>
            </w:r>
            <w:r>
              <w:rPr>
                <w:rFonts w:hAnsi="宋体" w:eastAsia="宋体" w:cs="宋体"/>
                <w:kern w:val="2"/>
                <w:szCs w:val="21"/>
              </w:rPr>
              <w:t>9</w:t>
            </w:r>
            <w:r>
              <w:rPr>
                <w:rFonts w:hint="eastAsia" w:hAnsi="宋体" w:eastAsia="宋体" w:cs="宋体"/>
                <w:kern w:val="2"/>
                <w:szCs w:val="21"/>
              </w:rPr>
              <w:t>倍</w:t>
            </w:r>
          </w:p>
        </w:tc>
        <w:tc>
          <w:tcPr>
            <w:tcW w:w="966" w:type="dxa"/>
            <w:vAlign w:val="center"/>
          </w:tcPr>
          <w:p w14:paraId="4A1006DA">
            <w:pPr>
              <w:jc w:val="center"/>
              <w:rPr>
                <w:rFonts w:hint="eastAsia" w:ascii="宋体" w:hAnsi="宋体" w:eastAsia="宋体" w:cs="Times New Roman"/>
                <w:kern w:val="0"/>
                <w:szCs w:val="21"/>
              </w:rPr>
            </w:pPr>
            <w:r>
              <w:rPr>
                <w:rFonts w:hint="eastAsia" w:ascii="宋体" w:hAnsi="宋体" w:eastAsia="宋体" w:cs="Times New Roman"/>
                <w:szCs w:val="21"/>
              </w:rPr>
              <w:t>喷雾</w:t>
            </w:r>
          </w:p>
        </w:tc>
        <w:tc>
          <w:tcPr>
            <w:tcW w:w="1233" w:type="dxa"/>
            <w:vAlign w:val="center"/>
          </w:tcPr>
          <w:p w14:paraId="63E3AD57">
            <w:pPr>
              <w:jc w:val="center"/>
              <w:rPr>
                <w:rFonts w:hint="eastAsia" w:ascii="宋体" w:hAnsi="宋体" w:eastAsia="宋体" w:cs="Times New Roman"/>
                <w:kern w:val="0"/>
                <w:szCs w:val="21"/>
              </w:rPr>
            </w:pPr>
            <w:r>
              <w:rPr>
                <w:rFonts w:hint="eastAsia" w:ascii="宋体" w:hAnsi="宋体" w:eastAsia="宋体" w:cs="Times New Roman"/>
                <w:kern w:val="0"/>
                <w:szCs w:val="21"/>
              </w:rPr>
              <w:t>15</w:t>
            </w:r>
          </w:p>
        </w:tc>
      </w:tr>
      <w:tr w14:paraId="78DAB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62995440">
            <w:pPr>
              <w:pStyle w:val="45"/>
              <w:widowControl w:val="0"/>
              <w:spacing w:line="360" w:lineRule="auto"/>
              <w:ind w:firstLine="0" w:firstLineChars="0"/>
              <w:jc w:val="center"/>
              <w:rPr>
                <w:rFonts w:hint="eastAsia" w:hAnsi="宋体" w:eastAsia="宋体" w:cs="Times New Roman"/>
                <w:szCs w:val="21"/>
              </w:rPr>
            </w:pPr>
            <w:r>
              <w:rPr>
                <w:rFonts w:hint="eastAsia" w:hAnsi="宋体" w:eastAsia="宋体" w:cs="Times New Roman"/>
                <w:szCs w:val="21"/>
              </w:rPr>
              <w:t>灰霉病</w:t>
            </w:r>
          </w:p>
        </w:tc>
        <w:tc>
          <w:tcPr>
            <w:tcW w:w="2126" w:type="dxa"/>
            <w:vAlign w:val="center"/>
          </w:tcPr>
          <w:p w14:paraId="2F41F35E">
            <w:pPr>
              <w:pStyle w:val="45"/>
              <w:widowControl w:val="0"/>
              <w:spacing w:line="360" w:lineRule="auto"/>
              <w:ind w:firstLine="0" w:firstLineChars="0"/>
              <w:jc w:val="center"/>
              <w:rPr>
                <w:rFonts w:hint="eastAsia" w:hAnsi="宋体" w:eastAsia="宋体" w:cs="Times New Roman"/>
                <w:szCs w:val="21"/>
              </w:rPr>
            </w:pPr>
            <w:r>
              <w:rPr>
                <w:rFonts w:hint="eastAsia" w:hAnsi="宋体" w:eastAsia="宋体" w:cs="Times New Roman"/>
                <w:szCs w:val="21"/>
              </w:rPr>
              <w:t>病害发生前或发生初期</w:t>
            </w:r>
          </w:p>
        </w:tc>
        <w:tc>
          <w:tcPr>
            <w:tcW w:w="2126" w:type="dxa"/>
            <w:vAlign w:val="center"/>
          </w:tcPr>
          <w:p w14:paraId="10222801">
            <w:pPr>
              <w:pStyle w:val="45"/>
              <w:widowControl w:val="0"/>
              <w:spacing w:line="360" w:lineRule="auto"/>
              <w:ind w:firstLine="0" w:firstLineChars="0"/>
              <w:jc w:val="center"/>
              <w:rPr>
                <w:rFonts w:hint="eastAsia" w:hAnsi="宋体" w:eastAsia="宋体" w:cs="Times New Roman"/>
                <w:szCs w:val="21"/>
              </w:rPr>
            </w:pPr>
            <w:r>
              <w:rPr>
                <w:rFonts w:hint="eastAsia" w:hAnsi="宋体" w:eastAsia="宋体" w:cs="Times New Roman"/>
                <w:szCs w:val="21"/>
              </w:rPr>
              <w:t>40%嘧霉胺悬浮剂</w:t>
            </w:r>
          </w:p>
        </w:tc>
        <w:tc>
          <w:tcPr>
            <w:tcW w:w="1701" w:type="dxa"/>
            <w:vAlign w:val="center"/>
          </w:tcPr>
          <w:p w14:paraId="09657373">
            <w:pPr>
              <w:pStyle w:val="45"/>
              <w:widowControl w:val="0"/>
              <w:spacing w:line="360" w:lineRule="auto"/>
              <w:ind w:firstLine="0" w:firstLineChars="0"/>
              <w:jc w:val="center"/>
              <w:rPr>
                <w:rFonts w:hint="eastAsia" w:hAnsi="宋体" w:eastAsia="宋体" w:cs="Times New Roman"/>
                <w:szCs w:val="21"/>
              </w:rPr>
            </w:pPr>
            <w:r>
              <w:rPr>
                <w:rFonts w:hint="eastAsia" w:hAnsi="宋体" w:eastAsia="宋体" w:cs="宋体"/>
                <w:kern w:val="2"/>
                <w:szCs w:val="21"/>
              </w:rPr>
              <w:t>1000～</w:t>
            </w:r>
            <w:r>
              <w:rPr>
                <w:rFonts w:hint="eastAsia" w:hAnsi="宋体" w:eastAsia="宋体" w:cs="Times New Roman"/>
                <w:szCs w:val="21"/>
              </w:rPr>
              <w:t>1500倍液</w:t>
            </w:r>
          </w:p>
        </w:tc>
        <w:tc>
          <w:tcPr>
            <w:tcW w:w="966" w:type="dxa"/>
            <w:vAlign w:val="center"/>
          </w:tcPr>
          <w:p w14:paraId="140AC864">
            <w:pPr>
              <w:jc w:val="center"/>
              <w:rPr>
                <w:rFonts w:hint="eastAsia" w:ascii="宋体" w:hAnsi="宋体" w:eastAsia="宋体" w:cs="Times New Roman"/>
                <w:kern w:val="0"/>
                <w:szCs w:val="21"/>
              </w:rPr>
            </w:pPr>
            <w:r>
              <w:rPr>
                <w:rFonts w:hint="eastAsia" w:ascii="宋体" w:hAnsi="宋体" w:eastAsia="宋体" w:cs="Times New Roman"/>
                <w:szCs w:val="21"/>
              </w:rPr>
              <w:t>喷雾</w:t>
            </w:r>
          </w:p>
        </w:tc>
        <w:tc>
          <w:tcPr>
            <w:tcW w:w="1233" w:type="dxa"/>
            <w:vAlign w:val="center"/>
          </w:tcPr>
          <w:p w14:paraId="7CB64DFC">
            <w:pPr>
              <w:jc w:val="center"/>
              <w:rPr>
                <w:rFonts w:hint="eastAsia" w:ascii="宋体" w:hAnsi="宋体" w:eastAsia="宋体" w:cs="Times New Roman"/>
                <w:kern w:val="0"/>
                <w:szCs w:val="21"/>
              </w:rPr>
            </w:pPr>
            <w:r>
              <w:rPr>
                <w:rFonts w:hint="eastAsia" w:ascii="宋体" w:hAnsi="宋体" w:eastAsia="宋体" w:cs="Times New Roman"/>
                <w:kern w:val="0"/>
                <w:szCs w:val="21"/>
              </w:rPr>
              <w:t>7</w:t>
            </w:r>
          </w:p>
        </w:tc>
      </w:tr>
      <w:tr w14:paraId="1115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536" w:type="dxa"/>
            <w:gridSpan w:val="6"/>
            <w:vAlign w:val="center"/>
          </w:tcPr>
          <w:p w14:paraId="7A7C6403">
            <w:pPr>
              <w:jc w:val="left"/>
              <w:rPr>
                <w:rFonts w:hint="eastAsia" w:ascii="宋体" w:hAnsi="宋体" w:eastAsia="宋体" w:cs="Times New Roman"/>
                <w:kern w:val="0"/>
                <w:szCs w:val="21"/>
              </w:rPr>
            </w:pPr>
            <w:r>
              <w:rPr>
                <w:rFonts w:hint="eastAsia" w:ascii="宋体" w:hAnsi="宋体" w:eastAsia="宋体" w:cs="Times New Roman"/>
                <w:kern w:val="0"/>
                <w:szCs w:val="21"/>
              </w:rPr>
              <w:t>注：农药使用以最新版本NY/T 393的规定为准。</w:t>
            </w:r>
          </w:p>
        </w:tc>
      </w:tr>
    </w:tbl>
    <w:p w14:paraId="3BD449B2">
      <w:pPr>
        <w:spacing w:line="360" w:lineRule="auto"/>
        <w:rPr>
          <w:rFonts w:hint="eastAsia"/>
        </w:rPr>
      </w:pPr>
    </w:p>
    <w:p w14:paraId="6F6D7252">
      <w:pPr>
        <w:spacing w:line="360" w:lineRule="auto"/>
        <w:rPr>
          <w:rFonts w:hint="eastAsia"/>
        </w:rPr>
      </w:pPr>
    </w:p>
    <w:p w14:paraId="54C79E43">
      <w:pPr>
        <w:spacing w:line="360" w:lineRule="auto"/>
        <w:rPr>
          <w:rFonts w:hint="eastAsia"/>
        </w:rPr>
      </w:pPr>
    </w:p>
    <w:p w14:paraId="090F5CEA">
      <w:pPr>
        <w:spacing w:line="360" w:lineRule="auto"/>
        <w:rPr>
          <w:rFonts w:hint="eastAsi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01266">
    <w:pPr>
      <w:pStyle w:val="7"/>
      <w:jc w:val="right"/>
      <w:rPr>
        <w:rFonts w:hint="eastAsia" w:ascii="黑体" w:hAnsi="黑体" w:eastAsia="黑体"/>
        <w:sz w:val="21"/>
        <w:szCs w:val="21"/>
      </w:rPr>
    </w:pPr>
    <w:r>
      <w:rPr>
        <w:rFonts w:hint="eastAsia" w:ascii="黑体" w:hAnsi="黑体" w:eastAsia="黑体"/>
        <w:sz w:val="21"/>
        <w:szCs w:val="21"/>
      </w:rPr>
      <w:t>T/CGFAXXX-202X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676DE0"/>
    <w:multiLevelType w:val="multilevel"/>
    <w:tmpl w:val="4F676DE0"/>
    <w:lvl w:ilvl="0" w:tentative="0">
      <w:start w:val="1"/>
      <w:numFmt w:val="decimal"/>
      <w:lvlText w:val="%1"/>
      <w:lvlJc w:val="left"/>
      <w:pPr>
        <w:ind w:left="420" w:hanging="420"/>
      </w:pPr>
      <w:rPr>
        <w:rFonts w:hint="eastAsia" w:eastAsia="黑体"/>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ECC"/>
    <w:rsid w:val="000367E1"/>
    <w:rsid w:val="00037BE9"/>
    <w:rsid w:val="0004307B"/>
    <w:rsid w:val="000453DA"/>
    <w:rsid w:val="00072037"/>
    <w:rsid w:val="0007302C"/>
    <w:rsid w:val="0008484B"/>
    <w:rsid w:val="00091057"/>
    <w:rsid w:val="00097D87"/>
    <w:rsid w:val="000A5757"/>
    <w:rsid w:val="000A62C0"/>
    <w:rsid w:val="000F21BA"/>
    <w:rsid w:val="000F4D26"/>
    <w:rsid w:val="00100133"/>
    <w:rsid w:val="0011424D"/>
    <w:rsid w:val="00126F7C"/>
    <w:rsid w:val="00130537"/>
    <w:rsid w:val="00145262"/>
    <w:rsid w:val="001732AD"/>
    <w:rsid w:val="00195F3F"/>
    <w:rsid w:val="001964A2"/>
    <w:rsid w:val="001D0747"/>
    <w:rsid w:val="001E2800"/>
    <w:rsid w:val="001E436F"/>
    <w:rsid w:val="001E4504"/>
    <w:rsid w:val="001E49BF"/>
    <w:rsid w:val="001E7B14"/>
    <w:rsid w:val="001F5435"/>
    <w:rsid w:val="002249CE"/>
    <w:rsid w:val="00277412"/>
    <w:rsid w:val="00284188"/>
    <w:rsid w:val="002A622C"/>
    <w:rsid w:val="002C53AB"/>
    <w:rsid w:val="002D727E"/>
    <w:rsid w:val="002F629C"/>
    <w:rsid w:val="003009D2"/>
    <w:rsid w:val="003116D6"/>
    <w:rsid w:val="00314404"/>
    <w:rsid w:val="0031638D"/>
    <w:rsid w:val="003410DC"/>
    <w:rsid w:val="00362AD7"/>
    <w:rsid w:val="0036688D"/>
    <w:rsid w:val="00376B77"/>
    <w:rsid w:val="003818FA"/>
    <w:rsid w:val="00390FBC"/>
    <w:rsid w:val="003A7002"/>
    <w:rsid w:val="003C385A"/>
    <w:rsid w:val="003C5DFC"/>
    <w:rsid w:val="003D2C7F"/>
    <w:rsid w:val="003D41C2"/>
    <w:rsid w:val="004200CF"/>
    <w:rsid w:val="004315E1"/>
    <w:rsid w:val="004324CB"/>
    <w:rsid w:val="004421B8"/>
    <w:rsid w:val="0046420D"/>
    <w:rsid w:val="004718B0"/>
    <w:rsid w:val="0048271D"/>
    <w:rsid w:val="00490A26"/>
    <w:rsid w:val="00494B09"/>
    <w:rsid w:val="004B62CA"/>
    <w:rsid w:val="004B6DA5"/>
    <w:rsid w:val="004C76BF"/>
    <w:rsid w:val="004E3BC5"/>
    <w:rsid w:val="0051165A"/>
    <w:rsid w:val="0051595E"/>
    <w:rsid w:val="0053627E"/>
    <w:rsid w:val="005377B1"/>
    <w:rsid w:val="005436A0"/>
    <w:rsid w:val="00546064"/>
    <w:rsid w:val="0055096C"/>
    <w:rsid w:val="00557844"/>
    <w:rsid w:val="005B5378"/>
    <w:rsid w:val="005E7811"/>
    <w:rsid w:val="005F0435"/>
    <w:rsid w:val="005F1E2F"/>
    <w:rsid w:val="006020E6"/>
    <w:rsid w:val="0060704D"/>
    <w:rsid w:val="00620027"/>
    <w:rsid w:val="00624610"/>
    <w:rsid w:val="00651CC2"/>
    <w:rsid w:val="00686EED"/>
    <w:rsid w:val="006B70F4"/>
    <w:rsid w:val="006D5C49"/>
    <w:rsid w:val="006F261F"/>
    <w:rsid w:val="00721A6B"/>
    <w:rsid w:val="00757232"/>
    <w:rsid w:val="0075774D"/>
    <w:rsid w:val="0077010A"/>
    <w:rsid w:val="007728FA"/>
    <w:rsid w:val="0077411F"/>
    <w:rsid w:val="0077564A"/>
    <w:rsid w:val="007A6D3E"/>
    <w:rsid w:val="007C2A6F"/>
    <w:rsid w:val="007F08EB"/>
    <w:rsid w:val="007F29F1"/>
    <w:rsid w:val="007F2BC4"/>
    <w:rsid w:val="008140A0"/>
    <w:rsid w:val="00867D3C"/>
    <w:rsid w:val="008774F6"/>
    <w:rsid w:val="008A06B7"/>
    <w:rsid w:val="008A222F"/>
    <w:rsid w:val="008B21BE"/>
    <w:rsid w:val="008B6D7A"/>
    <w:rsid w:val="009025D3"/>
    <w:rsid w:val="0091489B"/>
    <w:rsid w:val="00952BA1"/>
    <w:rsid w:val="00964416"/>
    <w:rsid w:val="00965833"/>
    <w:rsid w:val="00976753"/>
    <w:rsid w:val="00992832"/>
    <w:rsid w:val="009951B0"/>
    <w:rsid w:val="00996860"/>
    <w:rsid w:val="009C7869"/>
    <w:rsid w:val="009D4934"/>
    <w:rsid w:val="009D4B3B"/>
    <w:rsid w:val="009D513D"/>
    <w:rsid w:val="009F2712"/>
    <w:rsid w:val="00A015E0"/>
    <w:rsid w:val="00A07858"/>
    <w:rsid w:val="00A163E7"/>
    <w:rsid w:val="00A168B7"/>
    <w:rsid w:val="00A2522D"/>
    <w:rsid w:val="00A26F00"/>
    <w:rsid w:val="00A40717"/>
    <w:rsid w:val="00A43C99"/>
    <w:rsid w:val="00A57868"/>
    <w:rsid w:val="00A70F94"/>
    <w:rsid w:val="00A7355D"/>
    <w:rsid w:val="00A82803"/>
    <w:rsid w:val="00AC0A43"/>
    <w:rsid w:val="00AC4068"/>
    <w:rsid w:val="00AD33F8"/>
    <w:rsid w:val="00AD744A"/>
    <w:rsid w:val="00AE1182"/>
    <w:rsid w:val="00B01F70"/>
    <w:rsid w:val="00B02880"/>
    <w:rsid w:val="00B16B13"/>
    <w:rsid w:val="00B23344"/>
    <w:rsid w:val="00B312E9"/>
    <w:rsid w:val="00B35CBB"/>
    <w:rsid w:val="00B415E8"/>
    <w:rsid w:val="00B4185B"/>
    <w:rsid w:val="00B4292B"/>
    <w:rsid w:val="00B64532"/>
    <w:rsid w:val="00B70BDC"/>
    <w:rsid w:val="00B76B8B"/>
    <w:rsid w:val="00BE04B3"/>
    <w:rsid w:val="00BE55C7"/>
    <w:rsid w:val="00C06815"/>
    <w:rsid w:val="00C1303C"/>
    <w:rsid w:val="00C22CC6"/>
    <w:rsid w:val="00C22D29"/>
    <w:rsid w:val="00C32C33"/>
    <w:rsid w:val="00C723C8"/>
    <w:rsid w:val="00C75AA2"/>
    <w:rsid w:val="00C75D47"/>
    <w:rsid w:val="00C83EB4"/>
    <w:rsid w:val="00C85EF8"/>
    <w:rsid w:val="00C8620C"/>
    <w:rsid w:val="00C97CF4"/>
    <w:rsid w:val="00CB45AD"/>
    <w:rsid w:val="00CD0F07"/>
    <w:rsid w:val="00CD23D0"/>
    <w:rsid w:val="00CD28DF"/>
    <w:rsid w:val="00CD3908"/>
    <w:rsid w:val="00D20B0F"/>
    <w:rsid w:val="00D236B9"/>
    <w:rsid w:val="00D401ED"/>
    <w:rsid w:val="00D80868"/>
    <w:rsid w:val="00D85C24"/>
    <w:rsid w:val="00DB0819"/>
    <w:rsid w:val="00DC1E37"/>
    <w:rsid w:val="00DC25C0"/>
    <w:rsid w:val="00DC27FF"/>
    <w:rsid w:val="00DC63D2"/>
    <w:rsid w:val="00DD12A7"/>
    <w:rsid w:val="00DE01B4"/>
    <w:rsid w:val="00DE4CA2"/>
    <w:rsid w:val="00DE60B9"/>
    <w:rsid w:val="00DE6122"/>
    <w:rsid w:val="00E11F86"/>
    <w:rsid w:val="00E1627C"/>
    <w:rsid w:val="00E46C72"/>
    <w:rsid w:val="00E52F76"/>
    <w:rsid w:val="00E64F0A"/>
    <w:rsid w:val="00E82C7A"/>
    <w:rsid w:val="00E9117F"/>
    <w:rsid w:val="00E9181A"/>
    <w:rsid w:val="00E963D8"/>
    <w:rsid w:val="00EA4799"/>
    <w:rsid w:val="00EB5FE1"/>
    <w:rsid w:val="00F25705"/>
    <w:rsid w:val="00F5168A"/>
    <w:rsid w:val="00F60695"/>
    <w:rsid w:val="00FA5653"/>
    <w:rsid w:val="00FE6ECC"/>
    <w:rsid w:val="01541EA9"/>
    <w:rsid w:val="01E55D08"/>
    <w:rsid w:val="01F176F8"/>
    <w:rsid w:val="022E44A8"/>
    <w:rsid w:val="0313173F"/>
    <w:rsid w:val="035B50E5"/>
    <w:rsid w:val="0371289F"/>
    <w:rsid w:val="03CF1049"/>
    <w:rsid w:val="03F31506"/>
    <w:rsid w:val="053718C6"/>
    <w:rsid w:val="055C2BCB"/>
    <w:rsid w:val="05FD1395"/>
    <w:rsid w:val="06AA3194"/>
    <w:rsid w:val="06D5777B"/>
    <w:rsid w:val="07807554"/>
    <w:rsid w:val="0790350F"/>
    <w:rsid w:val="07C733D5"/>
    <w:rsid w:val="07E850FA"/>
    <w:rsid w:val="084542FA"/>
    <w:rsid w:val="088A61B1"/>
    <w:rsid w:val="08BE1A3E"/>
    <w:rsid w:val="08E27D9B"/>
    <w:rsid w:val="0943525E"/>
    <w:rsid w:val="095C5D9F"/>
    <w:rsid w:val="09B21762"/>
    <w:rsid w:val="0B9E444D"/>
    <w:rsid w:val="0CC2416B"/>
    <w:rsid w:val="0D562B05"/>
    <w:rsid w:val="0D645222"/>
    <w:rsid w:val="0E2F441C"/>
    <w:rsid w:val="0E8813E4"/>
    <w:rsid w:val="0EFD592E"/>
    <w:rsid w:val="0F44355D"/>
    <w:rsid w:val="0F91BC63"/>
    <w:rsid w:val="11561326"/>
    <w:rsid w:val="11AB78C4"/>
    <w:rsid w:val="12C549B5"/>
    <w:rsid w:val="12CA5B28"/>
    <w:rsid w:val="13117BFA"/>
    <w:rsid w:val="14DB226E"/>
    <w:rsid w:val="1562473D"/>
    <w:rsid w:val="15787ABD"/>
    <w:rsid w:val="158346B4"/>
    <w:rsid w:val="16695657"/>
    <w:rsid w:val="175C6F6A"/>
    <w:rsid w:val="17604CAC"/>
    <w:rsid w:val="176F3141"/>
    <w:rsid w:val="17966920"/>
    <w:rsid w:val="17B86896"/>
    <w:rsid w:val="183B3024"/>
    <w:rsid w:val="18846779"/>
    <w:rsid w:val="192B4E46"/>
    <w:rsid w:val="1A217918"/>
    <w:rsid w:val="1AE654C9"/>
    <w:rsid w:val="1B972C67"/>
    <w:rsid w:val="1C9B0535"/>
    <w:rsid w:val="1D6628F1"/>
    <w:rsid w:val="1D6F0FC8"/>
    <w:rsid w:val="1DD43CFE"/>
    <w:rsid w:val="1DFF6021"/>
    <w:rsid w:val="1E0F11DA"/>
    <w:rsid w:val="1E672DC4"/>
    <w:rsid w:val="1E8A6AB3"/>
    <w:rsid w:val="1EB27D85"/>
    <w:rsid w:val="1EF81C6E"/>
    <w:rsid w:val="1F422EEA"/>
    <w:rsid w:val="20621A95"/>
    <w:rsid w:val="210B5C89"/>
    <w:rsid w:val="212C5BFF"/>
    <w:rsid w:val="2294546A"/>
    <w:rsid w:val="22DB5B2F"/>
    <w:rsid w:val="23FE3883"/>
    <w:rsid w:val="24A60E07"/>
    <w:rsid w:val="24CA7C09"/>
    <w:rsid w:val="24ED56A6"/>
    <w:rsid w:val="2533755C"/>
    <w:rsid w:val="254E25E8"/>
    <w:rsid w:val="25CF779D"/>
    <w:rsid w:val="27BE7DDC"/>
    <w:rsid w:val="27DB3EDB"/>
    <w:rsid w:val="27DD40F7"/>
    <w:rsid w:val="28004AB9"/>
    <w:rsid w:val="28B301C6"/>
    <w:rsid w:val="28D2297D"/>
    <w:rsid w:val="29F16DF3"/>
    <w:rsid w:val="2A225DF1"/>
    <w:rsid w:val="2A27165A"/>
    <w:rsid w:val="2A4E788B"/>
    <w:rsid w:val="2A677CA8"/>
    <w:rsid w:val="2B2452CC"/>
    <w:rsid w:val="2B7E2E33"/>
    <w:rsid w:val="2B9B5E5B"/>
    <w:rsid w:val="2C8D7E9A"/>
    <w:rsid w:val="2D502C75"/>
    <w:rsid w:val="2D8FD1ED"/>
    <w:rsid w:val="2DFD2DFD"/>
    <w:rsid w:val="2E532A1D"/>
    <w:rsid w:val="2EEF0D25"/>
    <w:rsid w:val="2EF719BE"/>
    <w:rsid w:val="2F633134"/>
    <w:rsid w:val="304C1E4D"/>
    <w:rsid w:val="30C96FC7"/>
    <w:rsid w:val="30EB33E1"/>
    <w:rsid w:val="311566B0"/>
    <w:rsid w:val="312B7C81"/>
    <w:rsid w:val="31D23FEB"/>
    <w:rsid w:val="32060C74"/>
    <w:rsid w:val="32156AF6"/>
    <w:rsid w:val="324B718F"/>
    <w:rsid w:val="33240E2C"/>
    <w:rsid w:val="334119DE"/>
    <w:rsid w:val="335A484E"/>
    <w:rsid w:val="336B1DC0"/>
    <w:rsid w:val="3421711A"/>
    <w:rsid w:val="3451291A"/>
    <w:rsid w:val="352769B2"/>
    <w:rsid w:val="35DC779C"/>
    <w:rsid w:val="360C2E3B"/>
    <w:rsid w:val="365B073B"/>
    <w:rsid w:val="3784633D"/>
    <w:rsid w:val="386B4E07"/>
    <w:rsid w:val="39537D75"/>
    <w:rsid w:val="39B12CEE"/>
    <w:rsid w:val="39BF365D"/>
    <w:rsid w:val="39C72511"/>
    <w:rsid w:val="3A647D60"/>
    <w:rsid w:val="3A917BE9"/>
    <w:rsid w:val="3AB7E2C6"/>
    <w:rsid w:val="3BC96A15"/>
    <w:rsid w:val="3BD74847"/>
    <w:rsid w:val="3C3C0F95"/>
    <w:rsid w:val="3CE05DC4"/>
    <w:rsid w:val="3D2D05BA"/>
    <w:rsid w:val="3E7A794B"/>
    <w:rsid w:val="3EBF80DD"/>
    <w:rsid w:val="3F9333A3"/>
    <w:rsid w:val="3FFBF1C3"/>
    <w:rsid w:val="3FFFFCCA"/>
    <w:rsid w:val="40D21EC7"/>
    <w:rsid w:val="41742F7F"/>
    <w:rsid w:val="41A81159"/>
    <w:rsid w:val="41BB50AC"/>
    <w:rsid w:val="42BD6B41"/>
    <w:rsid w:val="430420E0"/>
    <w:rsid w:val="43D877F5"/>
    <w:rsid w:val="442A7F8A"/>
    <w:rsid w:val="44615A3C"/>
    <w:rsid w:val="44AB4F09"/>
    <w:rsid w:val="45237196"/>
    <w:rsid w:val="45B002FD"/>
    <w:rsid w:val="45B918A8"/>
    <w:rsid w:val="462A6302"/>
    <w:rsid w:val="463F44B6"/>
    <w:rsid w:val="469F596F"/>
    <w:rsid w:val="48111527"/>
    <w:rsid w:val="48DD2D34"/>
    <w:rsid w:val="49DC7913"/>
    <w:rsid w:val="4A162E25"/>
    <w:rsid w:val="4ACE3700"/>
    <w:rsid w:val="4AE16747"/>
    <w:rsid w:val="4AFB026D"/>
    <w:rsid w:val="4B6776B0"/>
    <w:rsid w:val="4BCE772F"/>
    <w:rsid w:val="4BD72A88"/>
    <w:rsid w:val="4CE924D7"/>
    <w:rsid w:val="4D5325E2"/>
    <w:rsid w:val="4D6245D3"/>
    <w:rsid w:val="4DC25072"/>
    <w:rsid w:val="4E04568A"/>
    <w:rsid w:val="4E37780E"/>
    <w:rsid w:val="4E4268CB"/>
    <w:rsid w:val="4E5B34FC"/>
    <w:rsid w:val="4E870795"/>
    <w:rsid w:val="4FBD969D"/>
    <w:rsid w:val="50016325"/>
    <w:rsid w:val="500530CB"/>
    <w:rsid w:val="519C4558"/>
    <w:rsid w:val="51FD18BA"/>
    <w:rsid w:val="526F5117"/>
    <w:rsid w:val="529945F3"/>
    <w:rsid w:val="52F21F55"/>
    <w:rsid w:val="552A59D6"/>
    <w:rsid w:val="55747599"/>
    <w:rsid w:val="55D75F51"/>
    <w:rsid w:val="562ECC18"/>
    <w:rsid w:val="56E35054"/>
    <w:rsid w:val="57FFF15E"/>
    <w:rsid w:val="583D3C73"/>
    <w:rsid w:val="58583623"/>
    <w:rsid w:val="597B2CA5"/>
    <w:rsid w:val="5A7D2A4C"/>
    <w:rsid w:val="5ADA1C4D"/>
    <w:rsid w:val="5AFA409D"/>
    <w:rsid w:val="5C6C2D78"/>
    <w:rsid w:val="5D7C2B5D"/>
    <w:rsid w:val="5DE0757A"/>
    <w:rsid w:val="5DE973E1"/>
    <w:rsid w:val="5E45329D"/>
    <w:rsid w:val="5EC073AC"/>
    <w:rsid w:val="5F526256"/>
    <w:rsid w:val="5F88611B"/>
    <w:rsid w:val="5FB7C6B6"/>
    <w:rsid w:val="5FF56452"/>
    <w:rsid w:val="5FFB29DF"/>
    <w:rsid w:val="60713D6F"/>
    <w:rsid w:val="612B1454"/>
    <w:rsid w:val="61761FA3"/>
    <w:rsid w:val="61994610"/>
    <w:rsid w:val="61FE0F96"/>
    <w:rsid w:val="62893CFB"/>
    <w:rsid w:val="62EA49F7"/>
    <w:rsid w:val="632EEB50"/>
    <w:rsid w:val="65735178"/>
    <w:rsid w:val="66081D64"/>
    <w:rsid w:val="66EA76BB"/>
    <w:rsid w:val="66EC758D"/>
    <w:rsid w:val="678F04D5"/>
    <w:rsid w:val="67E265E5"/>
    <w:rsid w:val="68376930"/>
    <w:rsid w:val="69BB533F"/>
    <w:rsid w:val="69CE0BCF"/>
    <w:rsid w:val="6A813E93"/>
    <w:rsid w:val="6A9040D6"/>
    <w:rsid w:val="6B247141"/>
    <w:rsid w:val="6B2519DB"/>
    <w:rsid w:val="6BA0659B"/>
    <w:rsid w:val="6BF568E6"/>
    <w:rsid w:val="6C103720"/>
    <w:rsid w:val="6CD7476D"/>
    <w:rsid w:val="6D090170"/>
    <w:rsid w:val="6E080427"/>
    <w:rsid w:val="6E114777"/>
    <w:rsid w:val="6E95615F"/>
    <w:rsid w:val="6EA74844"/>
    <w:rsid w:val="6ECB7DD2"/>
    <w:rsid w:val="6F934555"/>
    <w:rsid w:val="6FEE1FCA"/>
    <w:rsid w:val="6FF84E79"/>
    <w:rsid w:val="6FFB46E7"/>
    <w:rsid w:val="6FFE73E3"/>
    <w:rsid w:val="702E0619"/>
    <w:rsid w:val="706978A3"/>
    <w:rsid w:val="70B34FC2"/>
    <w:rsid w:val="711F61B4"/>
    <w:rsid w:val="718B55F7"/>
    <w:rsid w:val="71FA51AB"/>
    <w:rsid w:val="72A526E9"/>
    <w:rsid w:val="732775A1"/>
    <w:rsid w:val="732D105C"/>
    <w:rsid w:val="735F5490"/>
    <w:rsid w:val="73CD1EF7"/>
    <w:rsid w:val="73CD639B"/>
    <w:rsid w:val="74E7348C"/>
    <w:rsid w:val="75330480"/>
    <w:rsid w:val="75B457A7"/>
    <w:rsid w:val="75B82733"/>
    <w:rsid w:val="75DBF1A8"/>
    <w:rsid w:val="75E91491"/>
    <w:rsid w:val="75FB070E"/>
    <w:rsid w:val="764A3036"/>
    <w:rsid w:val="768105F7"/>
    <w:rsid w:val="773329B9"/>
    <w:rsid w:val="77373689"/>
    <w:rsid w:val="775D3592"/>
    <w:rsid w:val="777A05E8"/>
    <w:rsid w:val="777B4364"/>
    <w:rsid w:val="77EBF16E"/>
    <w:rsid w:val="77F23AC1"/>
    <w:rsid w:val="77F9CEBA"/>
    <w:rsid w:val="77FA20E4"/>
    <w:rsid w:val="797E0129"/>
    <w:rsid w:val="7A140880"/>
    <w:rsid w:val="7A7D1EC5"/>
    <w:rsid w:val="7A810ADB"/>
    <w:rsid w:val="7AFD7566"/>
    <w:rsid w:val="7B3D5BB4"/>
    <w:rsid w:val="7B445194"/>
    <w:rsid w:val="7B943312"/>
    <w:rsid w:val="7BF3FEE9"/>
    <w:rsid w:val="7C277F07"/>
    <w:rsid w:val="7C6453C2"/>
    <w:rsid w:val="7C7E0232"/>
    <w:rsid w:val="7CCB71F0"/>
    <w:rsid w:val="7CEA224B"/>
    <w:rsid w:val="7D2E3AC6"/>
    <w:rsid w:val="7D6A0567"/>
    <w:rsid w:val="7D92071E"/>
    <w:rsid w:val="7DA71A0B"/>
    <w:rsid w:val="7E1D3A7B"/>
    <w:rsid w:val="7E5C421F"/>
    <w:rsid w:val="7EB4618D"/>
    <w:rsid w:val="7EB746D4"/>
    <w:rsid w:val="7ECB1729"/>
    <w:rsid w:val="7EDD0871"/>
    <w:rsid w:val="7EE53B59"/>
    <w:rsid w:val="7EE8779C"/>
    <w:rsid w:val="7EF710F1"/>
    <w:rsid w:val="7F5259A6"/>
    <w:rsid w:val="7FDFD9D1"/>
    <w:rsid w:val="7FE6EC7E"/>
    <w:rsid w:val="7FFD0449"/>
    <w:rsid w:val="9BF57F97"/>
    <w:rsid w:val="9EDFA2FD"/>
    <w:rsid w:val="AAE37E19"/>
    <w:rsid w:val="AFA5E43A"/>
    <w:rsid w:val="B8DF57B7"/>
    <w:rsid w:val="BBFF3B04"/>
    <w:rsid w:val="BDBD858C"/>
    <w:rsid w:val="BF63AC6F"/>
    <w:rsid w:val="C6FB2D7A"/>
    <w:rsid w:val="C9ED7E7B"/>
    <w:rsid w:val="D29F6E1B"/>
    <w:rsid w:val="D9E36032"/>
    <w:rsid w:val="DFBD463E"/>
    <w:rsid w:val="E3D7E3DC"/>
    <w:rsid w:val="EDE03043"/>
    <w:rsid w:val="EFDBEC63"/>
    <w:rsid w:val="F3EEE305"/>
    <w:rsid w:val="F52F8131"/>
    <w:rsid w:val="F5BD8E10"/>
    <w:rsid w:val="F5DFA439"/>
    <w:rsid w:val="F76BB3D5"/>
    <w:rsid w:val="F7AF734C"/>
    <w:rsid w:val="F7FBD77B"/>
    <w:rsid w:val="FA3F8995"/>
    <w:rsid w:val="FC5FC5F7"/>
    <w:rsid w:val="FDE32267"/>
    <w:rsid w:val="FDFB0C42"/>
    <w:rsid w:val="FEEB79D1"/>
    <w:rsid w:val="FEFE9955"/>
    <w:rsid w:val="FFBFBD73"/>
    <w:rsid w:val="FFD19EA3"/>
    <w:rsid w:val="FFFB893B"/>
    <w:rsid w:val="FFFEA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link w:val="35"/>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3"/>
    <w:unhideWhenUsed/>
    <w:qFormat/>
    <w:uiPriority w:val="99"/>
    <w:pPr>
      <w:jc w:val="left"/>
    </w:pPr>
  </w:style>
  <w:style w:type="paragraph" w:styleId="4">
    <w:name w:val="Body Text Indent"/>
    <w:basedOn w:val="1"/>
    <w:link w:val="42"/>
    <w:semiHidden/>
    <w:unhideWhenUsed/>
    <w:qFormat/>
    <w:uiPriority w:val="99"/>
    <w:pPr>
      <w:spacing w:after="120"/>
      <w:ind w:left="420" w:leftChars="200"/>
    </w:pPr>
  </w:style>
  <w:style w:type="paragraph" w:styleId="5">
    <w:name w:val="Balloon Text"/>
    <w:basedOn w:val="1"/>
    <w:link w:val="27"/>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paragraph" w:styleId="9">
    <w:name w:val="annotation subject"/>
    <w:basedOn w:val="3"/>
    <w:next w:val="3"/>
    <w:link w:val="34"/>
    <w:semiHidden/>
    <w:unhideWhenUsed/>
    <w:qFormat/>
    <w:uiPriority w:val="99"/>
    <w:rPr>
      <w:b/>
      <w:bCs/>
    </w:rPr>
  </w:style>
  <w:style w:type="table" w:styleId="11">
    <w:name w:val="Table Grid"/>
    <w:basedOn w:val="10"/>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Hyperlink"/>
    <w:basedOn w:val="12"/>
    <w:qFormat/>
    <w:uiPriority w:val="0"/>
    <w:rPr>
      <w:color w:val="0563C1" w:themeColor="hyperlink"/>
      <w:u w:val="single"/>
      <w14:textFill>
        <w14:solidFill>
          <w14:schemeClr w14:val="hlink"/>
        </w14:solidFill>
      </w14:textFill>
    </w:rPr>
  </w:style>
  <w:style w:type="character" w:styleId="15">
    <w:name w:val="annotation reference"/>
    <w:basedOn w:val="12"/>
    <w:semiHidden/>
    <w:unhideWhenUsed/>
    <w:qFormat/>
    <w:uiPriority w:val="99"/>
    <w:rPr>
      <w:sz w:val="21"/>
      <w:szCs w:val="21"/>
    </w:rPr>
  </w:style>
  <w:style w:type="character" w:customStyle="1" w:styleId="16">
    <w:name w:val="页眉 字符"/>
    <w:basedOn w:val="12"/>
    <w:link w:val="7"/>
    <w:qFormat/>
    <w:uiPriority w:val="99"/>
    <w:rPr>
      <w:sz w:val="18"/>
      <w:szCs w:val="18"/>
    </w:rPr>
  </w:style>
  <w:style w:type="character" w:customStyle="1" w:styleId="17">
    <w:name w:val="页脚 字符"/>
    <w:basedOn w:val="12"/>
    <w:link w:val="6"/>
    <w:qFormat/>
    <w:uiPriority w:val="99"/>
    <w:rPr>
      <w:sz w:val="18"/>
      <w:szCs w:val="18"/>
    </w:rPr>
  </w:style>
  <w:style w:type="paragraph" w:customStyle="1" w:styleId="18">
    <w:name w:val="标准称谓3"/>
    <w:next w:val="1"/>
    <w:autoRedefine/>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lang w:val="en-US" w:eastAsia="zh-CN" w:bidi="ar-SA"/>
    </w:rPr>
  </w:style>
  <w:style w:type="paragraph" w:customStyle="1" w:styleId="19">
    <w:name w:val="封面标准顶部线"/>
    <w:autoRedefine/>
    <w:qFormat/>
    <w:uiPriority w:val="0"/>
    <w:pPr>
      <w:framePr w:w="9673" w:hSpace="181" w:wrap="around" w:vAnchor="page" w:hAnchor="page" w:x="1390" w:y="4242"/>
      <w:spacing w:line="0" w:lineRule="atLeast"/>
    </w:pPr>
    <w:rPr>
      <w:rFonts w:hint="eastAsia" w:ascii="宋体" w:hAnsi="Times New Roman" w:eastAsia="宋体" w:cs="Times New Roman"/>
      <w:sz w:val="21"/>
      <w:lang w:val="en-US" w:eastAsia="zh-CN" w:bidi="ar-SA"/>
    </w:rPr>
  </w:style>
  <w:style w:type="paragraph" w:customStyle="1" w:styleId="20">
    <w:name w:val="封面日期"/>
    <w:autoRedefine/>
    <w:qFormat/>
    <w:uiPriority w:val="0"/>
    <w:pPr>
      <w:framePr w:w="9673" w:vSpace="181" w:wrap="around" w:vAnchor="page" w:hAnchor="page" w:x="1419" w:y="14176" w:anchorLock="1"/>
      <w:spacing w:line="360" w:lineRule="exact"/>
    </w:pPr>
    <w:rPr>
      <w:rFonts w:hint="eastAsia" w:ascii="黑体" w:hAnsi="Times New Roman" w:eastAsia="黑体" w:cs="Times New Roman"/>
      <w:sz w:val="28"/>
      <w:lang w:val="en-US" w:eastAsia="zh-CN" w:bidi="ar-SA"/>
    </w:rPr>
  </w:style>
  <w:style w:type="paragraph" w:customStyle="1" w:styleId="21">
    <w:name w:val="封面标准代替信息"/>
    <w:autoRedefine/>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lang w:val="en-US" w:eastAsia="zh-CN" w:bidi="ar-SA"/>
    </w:rPr>
  </w:style>
  <w:style w:type="paragraph" w:customStyle="1" w:styleId="22">
    <w:name w:val="封面标准号2"/>
    <w:autoRedefine/>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lang w:val="en-US" w:eastAsia="zh-CN" w:bidi="ar-SA"/>
    </w:rPr>
  </w:style>
  <w:style w:type="paragraph" w:customStyle="1" w:styleId="23">
    <w:name w:val="封面标准名称"/>
    <w:autoRedefine/>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lang w:val="en-US" w:eastAsia="zh-CN" w:bidi="ar-SA"/>
    </w:rPr>
  </w:style>
  <w:style w:type="paragraph" w:customStyle="1" w:styleId="24">
    <w:name w:val="封面标准英文名称"/>
    <w:basedOn w:val="23"/>
    <w:autoRedefine/>
    <w:qFormat/>
    <w:uiPriority w:val="0"/>
    <w:pPr>
      <w:framePr w:wrap="around"/>
      <w:widowControl w:val="0"/>
      <w:tabs>
        <w:tab w:val="left" w:pos="9639"/>
      </w:tabs>
      <w:spacing w:before="410" w:line="360" w:lineRule="exact"/>
      <w:textAlignment w:val="bottom"/>
    </w:pPr>
    <w:rPr>
      <w:rFonts w:ascii="Times New Roman"/>
      <w:sz w:val="28"/>
    </w:rPr>
  </w:style>
  <w:style w:type="paragraph" w:customStyle="1" w:styleId="25">
    <w:name w:val="封面标准文稿类别"/>
    <w:basedOn w:val="1"/>
    <w:qFormat/>
    <w:uiPriority w:val="0"/>
    <w:pPr>
      <w:framePr w:w="9639" w:h="6974" w:hRule="exact" w:wrap="around" w:vAnchor="page" w:hAnchor="page" w:x="1419" w:y="6408"/>
      <w:tabs>
        <w:tab w:val="left" w:pos="9639"/>
      </w:tabs>
      <w:spacing w:before="440" w:after="160" w:line="360" w:lineRule="exact"/>
      <w:jc w:val="center"/>
      <w:textAlignment w:val="bottom"/>
    </w:pPr>
    <w:rPr>
      <w:rFonts w:hint="eastAsia" w:ascii="黑体" w:hAnsi="黑体" w:eastAsia="黑体" w:cs="黑体"/>
      <w:kern w:val="0"/>
      <w:sz w:val="24"/>
      <w:szCs w:val="20"/>
    </w:rPr>
  </w:style>
  <w:style w:type="paragraph" w:customStyle="1" w:styleId="26">
    <w:name w:val="文献分类号"/>
    <w:autoRedefine/>
    <w:qFormat/>
    <w:uiPriority w:val="0"/>
    <w:pPr>
      <w:framePr w:w="9639" w:wrap="around" w:vAnchor="page" w:hAnchor="page" w:x="1373" w:y="568"/>
      <w:widowControl w:val="0"/>
      <w:ind w:left="-462" w:leftChars="-220" w:firstLine="462" w:firstLineChars="220"/>
      <w:textAlignment w:val="center"/>
    </w:pPr>
    <w:rPr>
      <w:rFonts w:hint="eastAsia" w:ascii="黑体" w:hAnsi="Times New Roman" w:eastAsia="黑体" w:cs="Times New Roman"/>
      <w:kern w:val="21"/>
      <w:sz w:val="21"/>
      <w:lang w:val="en-US" w:eastAsia="zh-CN" w:bidi="ar-SA"/>
    </w:rPr>
  </w:style>
  <w:style w:type="character" w:customStyle="1" w:styleId="27">
    <w:name w:val="批注框文本 字符"/>
    <w:basedOn w:val="12"/>
    <w:link w:val="5"/>
    <w:semiHidden/>
    <w:qFormat/>
    <w:uiPriority w:val="99"/>
    <w:rPr>
      <w:rFonts w:asciiTheme="minorHAnsi" w:hAnsiTheme="minorHAnsi" w:eastAsiaTheme="minorEastAsia" w:cstheme="minorBidi"/>
      <w:kern w:val="2"/>
      <w:sz w:val="18"/>
      <w:szCs w:val="18"/>
    </w:rPr>
  </w:style>
  <w:style w:type="paragraph" w:customStyle="1" w:styleId="28">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9">
    <w:name w:val="标准书眉_奇数页"/>
    <w:next w:val="1"/>
    <w:autoRedefine/>
    <w:qFormat/>
    <w:uiPriority w:val="0"/>
    <w:pPr>
      <w:tabs>
        <w:tab w:val="center" w:pos="4153"/>
        <w:tab w:val="right" w:pos="8306"/>
      </w:tabs>
      <w:spacing w:after="120"/>
      <w:jc w:val="right"/>
    </w:pPr>
    <w:rPr>
      <w:rFonts w:hint="eastAsia" w:ascii="黑体" w:hAnsi="Times New Roman" w:eastAsia="黑体" w:cs="黑体"/>
      <w:sz w:val="21"/>
      <w:lang w:val="en-US" w:eastAsia="zh-CN" w:bidi="ar-SA"/>
    </w:rPr>
  </w:style>
  <w:style w:type="paragraph" w:styleId="30">
    <w:name w:val="List Paragraph"/>
    <w:basedOn w:val="1"/>
    <w:unhideWhenUsed/>
    <w:qFormat/>
    <w:uiPriority w:val="99"/>
    <w:pPr>
      <w:ind w:firstLine="420" w:firstLineChars="200"/>
    </w:pPr>
  </w:style>
  <w:style w:type="paragraph" w:customStyle="1" w:styleId="31">
    <w:name w:val="章标题"/>
    <w:next w:val="1"/>
    <w:autoRedefine/>
    <w:qFormat/>
    <w:uiPriority w:val="0"/>
    <w:pPr>
      <w:spacing w:beforeLines="100" w:afterLines="100"/>
      <w:jc w:val="both"/>
    </w:pPr>
    <w:rPr>
      <w:rFonts w:ascii="黑体" w:hAnsi="Times New Roman" w:eastAsia="黑体" w:cs="Times New Roman"/>
      <w:sz w:val="21"/>
      <w:lang w:val="en-US" w:eastAsia="zh-CN" w:bidi="ar-SA"/>
    </w:rPr>
  </w:style>
  <w:style w:type="paragraph" w:customStyle="1" w:styleId="32">
    <w:name w:val="标准文件_段"/>
    <w:autoRedefine/>
    <w:qFormat/>
    <w:uiPriority w:val="0"/>
    <w:pPr>
      <w:ind w:firstLine="960" w:firstLineChars="200"/>
      <w:jc w:val="both"/>
    </w:pPr>
    <w:rPr>
      <w:rFonts w:hint="eastAsia" w:ascii="宋体" w:hAnsi="Times New Roman" w:eastAsia="宋体" w:cs="宋体"/>
      <w:sz w:val="21"/>
      <w:lang w:val="en-US" w:eastAsia="zh-CN" w:bidi="ar-SA"/>
    </w:rPr>
  </w:style>
  <w:style w:type="character" w:customStyle="1" w:styleId="33">
    <w:name w:val="批注文字 字符"/>
    <w:basedOn w:val="12"/>
    <w:link w:val="3"/>
    <w:qFormat/>
    <w:uiPriority w:val="99"/>
    <w:rPr>
      <w:rFonts w:asciiTheme="minorHAnsi" w:hAnsiTheme="minorHAnsi" w:eastAsiaTheme="minorEastAsia" w:cstheme="minorBidi"/>
      <w:kern w:val="2"/>
      <w:sz w:val="21"/>
      <w:szCs w:val="22"/>
    </w:rPr>
  </w:style>
  <w:style w:type="character" w:customStyle="1" w:styleId="34">
    <w:name w:val="批注主题 字符"/>
    <w:basedOn w:val="33"/>
    <w:link w:val="9"/>
    <w:semiHidden/>
    <w:qFormat/>
    <w:uiPriority w:val="99"/>
    <w:rPr>
      <w:rFonts w:asciiTheme="minorHAnsi" w:hAnsiTheme="minorHAnsi" w:eastAsiaTheme="minorEastAsia" w:cstheme="minorBidi"/>
      <w:b/>
      <w:bCs/>
      <w:kern w:val="2"/>
      <w:sz w:val="21"/>
      <w:szCs w:val="22"/>
    </w:rPr>
  </w:style>
  <w:style w:type="character" w:customStyle="1" w:styleId="35">
    <w:name w:val="标题 4 字符"/>
    <w:basedOn w:val="12"/>
    <w:link w:val="2"/>
    <w:qFormat/>
    <w:uiPriority w:val="9"/>
    <w:rPr>
      <w:rFonts w:ascii="宋体" w:hAnsi="宋体" w:cs="宋体"/>
      <w:b/>
      <w:bCs/>
      <w:sz w:val="24"/>
      <w:szCs w:val="24"/>
    </w:rPr>
  </w:style>
  <w:style w:type="paragraph" w:customStyle="1" w:styleId="36">
    <w:name w:val="Body text|1"/>
    <w:basedOn w:val="1"/>
    <w:autoRedefine/>
    <w:qFormat/>
    <w:uiPriority w:val="0"/>
    <w:pPr>
      <w:spacing w:line="319" w:lineRule="auto"/>
      <w:ind w:firstLine="400"/>
    </w:pPr>
    <w:rPr>
      <w:rFonts w:ascii="宋体" w:hAnsi="宋体" w:eastAsia="宋体" w:cs="宋体"/>
      <w:sz w:val="20"/>
      <w:szCs w:val="20"/>
      <w:lang w:val="zh-TW" w:eastAsia="zh-TW" w:bidi="zh-TW"/>
    </w:rPr>
  </w:style>
  <w:style w:type="paragraph" w:customStyle="1" w:styleId="37">
    <w:name w:val="一级条标题"/>
    <w:next w:val="1"/>
    <w:qFormat/>
    <w:uiPriority w:val="0"/>
    <w:pPr>
      <w:spacing w:beforeLines="50" w:afterLines="50"/>
      <w:ind w:left="284"/>
      <w:outlineLvl w:val="2"/>
    </w:pPr>
    <w:rPr>
      <w:rFonts w:ascii="黑体" w:hAnsi="Times New Roman" w:eastAsia="黑体" w:cs="Times New Roman"/>
      <w:sz w:val="21"/>
      <w:szCs w:val="21"/>
      <w:lang w:val="en-US" w:eastAsia="zh-CN" w:bidi="ar-SA"/>
    </w:rPr>
  </w:style>
  <w:style w:type="paragraph" w:customStyle="1" w:styleId="38">
    <w:name w:val="二级条标题"/>
    <w:basedOn w:val="37"/>
    <w:next w:val="1"/>
    <w:qFormat/>
    <w:uiPriority w:val="0"/>
    <w:pPr>
      <w:spacing w:before="50" w:after="50"/>
      <w:ind w:left="142"/>
      <w:outlineLvl w:val="3"/>
    </w:pPr>
  </w:style>
  <w:style w:type="paragraph" w:customStyle="1" w:styleId="39">
    <w:name w:val="三级条标题"/>
    <w:basedOn w:val="38"/>
    <w:next w:val="1"/>
    <w:qFormat/>
    <w:uiPriority w:val="0"/>
    <w:pPr>
      <w:ind w:left="284"/>
      <w:outlineLvl w:val="4"/>
    </w:pPr>
  </w:style>
  <w:style w:type="paragraph" w:customStyle="1" w:styleId="40">
    <w:name w:val="四级条标题"/>
    <w:basedOn w:val="39"/>
    <w:next w:val="1"/>
    <w:qFormat/>
    <w:uiPriority w:val="0"/>
    <w:pPr>
      <w:ind w:left="568"/>
      <w:outlineLvl w:val="5"/>
    </w:pPr>
  </w:style>
  <w:style w:type="paragraph" w:customStyle="1" w:styleId="41">
    <w:name w:val="五级条标题"/>
    <w:basedOn w:val="40"/>
    <w:next w:val="1"/>
    <w:qFormat/>
    <w:uiPriority w:val="0"/>
    <w:pPr>
      <w:ind w:left="0"/>
      <w:outlineLvl w:val="6"/>
    </w:pPr>
  </w:style>
  <w:style w:type="character" w:customStyle="1" w:styleId="42">
    <w:name w:val="正文文本缩进 字符"/>
    <w:basedOn w:val="12"/>
    <w:link w:val="4"/>
    <w:semiHidden/>
    <w:qFormat/>
    <w:uiPriority w:val="99"/>
    <w:rPr>
      <w:rFonts w:asciiTheme="minorHAnsi" w:hAnsiTheme="minorHAnsi" w:eastAsiaTheme="minorEastAsia" w:cstheme="minorBidi"/>
      <w:kern w:val="2"/>
      <w:sz w:val="21"/>
      <w:szCs w:val="22"/>
    </w:rPr>
  </w:style>
  <w:style w:type="table" w:customStyle="1" w:styleId="43">
    <w:name w:val="网格型1"/>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
    <w:name w:val="网格型2"/>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段"/>
    <w:link w:val="46"/>
    <w:qFormat/>
    <w:uiPriority w:val="0"/>
    <w:pPr>
      <w:autoSpaceDE w:val="0"/>
      <w:autoSpaceDN w:val="0"/>
      <w:ind w:firstLine="200" w:firstLineChars="200"/>
      <w:jc w:val="both"/>
    </w:pPr>
    <w:rPr>
      <w:rFonts w:ascii="宋体" w:hAnsiTheme="minorHAnsi" w:eastAsiaTheme="minorEastAsia" w:cstheme="minorBidi"/>
      <w:sz w:val="21"/>
      <w:szCs w:val="22"/>
      <w:lang w:val="en-US" w:eastAsia="zh-CN" w:bidi="ar-SA"/>
    </w:rPr>
  </w:style>
  <w:style w:type="character" w:customStyle="1" w:styleId="46">
    <w:name w:val="段 Char"/>
    <w:link w:val="45"/>
    <w:qFormat/>
    <w:uiPriority w:val="0"/>
    <w:rPr>
      <w:rFonts w:ascii="宋体" w:hAnsiTheme="minorHAnsi" w:eastAsiaTheme="minorEastAsia" w:cstheme="minorBidi"/>
      <w:sz w:val="21"/>
      <w:szCs w:val="22"/>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B8A8EDF21F74C1FBAC0286AFD73E5CC"/>
        <w:style w:val=""/>
        <w:category>
          <w:name w:val="常规"/>
          <w:gallery w:val="placeholder"/>
        </w:category>
        <w:types>
          <w:type w:val="bbPlcHdr"/>
        </w:types>
        <w:behaviors>
          <w:behavior w:val="content"/>
        </w:behaviors>
        <w:description w:val=""/>
        <w:guid w:val="{FBE1206D-6F92-4118-87D3-9EE5F81516AC}"/>
      </w:docPartPr>
      <w:docPartBody>
        <w:p w14:paraId="32A47D15">
          <w:pPr>
            <w:pStyle w:val="4"/>
            <w:rPr>
              <w:rFonts w:hint="eastAsia"/>
            </w:rPr>
          </w:pPr>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C61AA7"/>
    <w:rsid w:val="00076098"/>
    <w:rsid w:val="00107CCF"/>
    <w:rsid w:val="001223D9"/>
    <w:rsid w:val="001352C1"/>
    <w:rsid w:val="00217FB2"/>
    <w:rsid w:val="00252A62"/>
    <w:rsid w:val="002D3947"/>
    <w:rsid w:val="002D5006"/>
    <w:rsid w:val="00314404"/>
    <w:rsid w:val="00333244"/>
    <w:rsid w:val="003333C0"/>
    <w:rsid w:val="00342170"/>
    <w:rsid w:val="003516C4"/>
    <w:rsid w:val="00383B21"/>
    <w:rsid w:val="00470ACD"/>
    <w:rsid w:val="00517166"/>
    <w:rsid w:val="005251CF"/>
    <w:rsid w:val="005329DB"/>
    <w:rsid w:val="0054598D"/>
    <w:rsid w:val="005B3148"/>
    <w:rsid w:val="00647DA4"/>
    <w:rsid w:val="007740C4"/>
    <w:rsid w:val="007E44E9"/>
    <w:rsid w:val="00844D40"/>
    <w:rsid w:val="00872B85"/>
    <w:rsid w:val="00881313"/>
    <w:rsid w:val="009C7869"/>
    <w:rsid w:val="00A015E0"/>
    <w:rsid w:val="00AD744A"/>
    <w:rsid w:val="00AE1A73"/>
    <w:rsid w:val="00B1217C"/>
    <w:rsid w:val="00BD60DB"/>
    <w:rsid w:val="00C22CC6"/>
    <w:rsid w:val="00C27189"/>
    <w:rsid w:val="00C61AA7"/>
    <w:rsid w:val="00CD43EF"/>
    <w:rsid w:val="00D01B5A"/>
    <w:rsid w:val="00D80868"/>
    <w:rsid w:val="00E471FB"/>
    <w:rsid w:val="00EE320C"/>
    <w:rsid w:val="00F031E0"/>
    <w:rsid w:val="00F363AE"/>
    <w:rsid w:val="00F60695"/>
    <w:rsid w:val="00F75B69"/>
    <w:rsid w:val="00F97C50"/>
    <w:rsid w:val="00FF7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BB8A8EDF21F74C1FBAC0286AFD73E5C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9</Pages>
  <Words>5017</Words>
  <Characters>5886</Characters>
  <Lines>45</Lines>
  <Paragraphs>12</Paragraphs>
  <TotalTime>48</TotalTime>
  <ScaleCrop>false</ScaleCrop>
  <LinksUpToDate>false</LinksUpToDate>
  <CharactersWithSpaces>6055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2026-03-20T06:22:00Z</dcterms:created>
  <dc:creator>志成</dc:creator>
  <cp:lastModifiedBy>房正</cp:lastModifiedBy>
  <cp:lastPrinted>2025-04-08T07:06:00Z</cp:lastPrinted>
  <dcterms:modified xsi:type="dcterms:W3CDTF">2026-04-15T03:18:38Z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5EB408511B7B40DFAFFE5B3AA2D875B2_13</vt:lpwstr>
  </property>
  <property fmtid="{D5CDD505-2E9C-101B-9397-08002B2CF9AE}" pid="4" name="KSOTemplateDocerSaveRecord">
    <vt:lpwstr>eyJoZGlkIjoiMGUyOGZlMzdlZWEyMGFlYzc0ZWE1MGJlZjA4NmY3NTMiLCJ1c2VySWQiOiIyNzM3NDc2MDMifQ==</vt:lpwstr>
  </property>
</Properties>
</file>