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1C96">
      <w:pPr>
        <w:pStyle w:val="17"/>
        <w:framePr w:wrap="around"/>
        <w:rPr>
          <w:rFonts w:hint="default"/>
        </w:rPr>
      </w:pPr>
      <w:r>
        <w:t>中国绿色食品协会团体标准</w:t>
      </w:r>
    </w:p>
    <w:p w14:paraId="629D6F3F">
      <w:pPr>
        <w:pStyle w:val="21"/>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T/CGFAXXX-202X</w:t>
      </w:r>
    </w:p>
    <w:p w14:paraId="4CC1AC09">
      <w:pPr>
        <w:pStyle w:val="20"/>
        <w:framePr w:wrap="around" w:x="1470" w:y="3511"/>
        <w:rPr>
          <w:rFonts w:hint="default"/>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219A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3CF1C18B">
            <w:pPr>
              <w:pStyle w:val="18"/>
              <w:framePr w:wrap="around"/>
              <w:rPr>
                <w:rFonts w:hAnsiTheme="minorHAnsi" w:eastAsiaTheme="minorEastAsia" w:cstheme="minorBidi"/>
                <w:sz w:val="10"/>
              </w:rPr>
            </w:pPr>
          </w:p>
        </w:tc>
      </w:tr>
    </w:tbl>
    <w:p w14:paraId="44EAA879">
      <w:pPr>
        <w:framePr w:w="10047" w:h="6974" w:hRule="exact" w:wrap="around" w:vAnchor="page" w:hAnchor="page" w:x="1197" w:y="6353"/>
        <w:spacing w:line="560" w:lineRule="exact"/>
        <w:jc w:val="center"/>
        <w:rPr>
          <w:rFonts w:hint="eastAsia" w:ascii="黑体" w:hAnsi="黑体" w:eastAsia="黑体" w:cs="华文中宋"/>
          <w:bCs/>
          <w:sz w:val="48"/>
          <w:szCs w:val="48"/>
        </w:rPr>
      </w:pPr>
      <w:bookmarkStart w:id="0" w:name="OLE_LINK9"/>
      <w:bookmarkStart w:id="1" w:name="OLE_LINK10"/>
      <w:r>
        <w:rPr>
          <w:rFonts w:hint="eastAsia" w:ascii="黑体" w:hAnsi="黑体" w:eastAsia="黑体" w:cs="华文中宋"/>
          <w:bCs/>
          <w:sz w:val="48"/>
          <w:szCs w:val="48"/>
        </w:rPr>
        <w:t>绿色食品 西北黄土高原地区苹果</w:t>
      </w:r>
      <w:bookmarkStart w:id="2" w:name="OLE_LINK2"/>
      <w:r>
        <w:rPr>
          <w:rFonts w:hint="eastAsia" w:ascii="黑体" w:hAnsi="黑体" w:eastAsia="黑体" w:cs="华文中宋"/>
          <w:bCs/>
          <w:sz w:val="48"/>
          <w:szCs w:val="48"/>
        </w:rPr>
        <w:t>生产操作规程</w:t>
      </w:r>
      <w:bookmarkEnd w:id="2"/>
    </w:p>
    <w:bookmarkEnd w:id="0"/>
    <w:bookmarkEnd w:id="1"/>
    <w:p w14:paraId="1A788DCC">
      <w:pPr>
        <w:pStyle w:val="23"/>
        <w:framePr w:w="10047" w:wrap="around" w:x="1197" w:y="6353"/>
        <w:rPr>
          <w:rFonts w:hint="default"/>
        </w:rPr>
      </w:pPr>
      <w:r>
        <w:t xml:space="preserve">Code of Practice for Green Food Apple Production in the Northwest Loess Plateau </w:t>
      </w:r>
    </w:p>
    <w:p w14:paraId="78FFECE8">
      <w:pPr>
        <w:pStyle w:val="23"/>
        <w:framePr w:w="10047" w:wrap="around" w:x="1197" w:y="6353"/>
        <w:rPr>
          <w:rFonts w:hint="default"/>
          <w:color w:val="EE0000"/>
        </w:rPr>
      </w:pPr>
    </w:p>
    <w:p w14:paraId="2F276CCF">
      <w:pPr>
        <w:pStyle w:val="23"/>
        <w:framePr w:w="10047" w:wrap="around" w:x="1197" w:y="6353"/>
        <w:rPr>
          <w:rFonts w:hint="default"/>
        </w:rPr>
      </w:pPr>
    </w:p>
    <w:p w14:paraId="2E754696">
      <w:pPr>
        <w:pStyle w:val="23"/>
        <w:framePr w:w="10047" w:wrap="around" w:x="1197" w:y="6353"/>
        <w:rPr>
          <w:rFonts w:hint="default"/>
          <w:sz w:val="36"/>
          <w:szCs w:val="22"/>
        </w:rPr>
      </w:pPr>
      <w:r>
        <w:rPr>
          <w:sz w:val="36"/>
          <w:szCs w:val="22"/>
        </w:rPr>
        <w:t>（</w:t>
      </w:r>
      <w:r>
        <w:rPr>
          <w:rFonts w:hint="eastAsia"/>
          <w:sz w:val="36"/>
          <w:szCs w:val="22"/>
          <w:lang w:val="en-US" w:eastAsia="zh-CN"/>
        </w:rPr>
        <w:t>征求意见稿</w:t>
      </w:r>
      <w:r>
        <w:rPr>
          <w:sz w:val="36"/>
          <w:szCs w:val="22"/>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5BCD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0D3087FB">
            <w:pPr>
              <w:pStyle w:val="19"/>
              <w:framePr w:wrap="around"/>
              <w:rPr>
                <w:rFonts w:hAnsiTheme="minorHAnsi" w:cstheme="minorBidi"/>
              </w:rPr>
            </w:pPr>
            <w:r>
              <w:rPr>
                <w:rFonts w:hAnsiTheme="minorHAnsi" w:cstheme="minorBidi"/>
              </w:rPr>
              <w:t xml:space="preserve">202X </w:t>
            </w:r>
            <w:r>
              <w:rPr>
                <w:rFonts w:ascii="宋体" w:hAnsi="宋体" w:eastAsia="宋体" w:cs="宋体"/>
              </w:rPr>
              <w:t>–</w:t>
            </w:r>
            <w:r>
              <w:rPr>
                <w:rFonts w:ascii="宋体" w:hAnsi="宋体" w:eastAsia="宋体" w:cs="宋体"/>
                <w:b/>
                <w:bCs/>
              </w:rPr>
              <w:t>X</w:t>
            </w:r>
            <w:r>
              <w:rPr>
                <w:rFonts w:ascii="宋体" w:hAnsi="宋体" w:eastAsia="宋体" w:cs="宋体"/>
              </w:rPr>
              <w:t xml:space="preserve">– </w:t>
            </w:r>
            <w:r>
              <w:rPr>
                <w:rFonts w:hAnsiTheme="minorHAnsi" w:cstheme="minorBidi"/>
              </w:rPr>
              <w:t>X 发布</w:t>
            </w:r>
          </w:p>
        </w:tc>
        <w:tc>
          <w:tcPr>
            <w:tcW w:w="5508" w:type="dxa"/>
            <w:tcBorders>
              <w:bottom w:val="single" w:color="auto" w:sz="8" w:space="0"/>
            </w:tcBorders>
            <w:tcMar>
              <w:right w:w="57" w:type="dxa"/>
            </w:tcMar>
          </w:tcPr>
          <w:p w14:paraId="19DD59DD">
            <w:pPr>
              <w:pStyle w:val="19"/>
              <w:framePr w:wrap="around"/>
              <w:ind w:right="1120"/>
              <w:jc w:val="right"/>
              <w:rPr>
                <w:rFonts w:hAnsiTheme="minorHAnsi" w:cstheme="minorBidi"/>
              </w:rPr>
            </w:pPr>
            <w:r>
              <w:rPr>
                <w:rFonts w:hAnsiTheme="minorHAnsi" w:cstheme="minorBidi"/>
              </w:rPr>
              <w:t xml:space="preserve">    202X </w:t>
            </w:r>
            <w:r>
              <w:rPr>
                <w:rFonts w:ascii="宋体" w:hAnsi="宋体" w:eastAsia="宋体" w:cs="宋体"/>
              </w:rPr>
              <w:t>–</w:t>
            </w:r>
            <w:r>
              <w:rPr>
                <w:rFonts w:hAnsiTheme="minorHAnsi" w:cstheme="minorBidi"/>
              </w:rPr>
              <w:t>X</w:t>
            </w:r>
            <w:r>
              <w:rPr>
                <w:rFonts w:ascii="宋体" w:hAnsi="宋体" w:eastAsia="宋体" w:cs="宋体"/>
              </w:rPr>
              <w:t>–</w:t>
            </w:r>
            <w:r>
              <w:rPr>
                <w:rFonts w:hAnsiTheme="minorHAnsi" w:cstheme="minorBidi"/>
              </w:rPr>
              <w:t>X 实施</w:t>
            </w:r>
          </w:p>
        </w:tc>
      </w:tr>
    </w:tbl>
    <w:p w14:paraId="6ACA5C30">
      <w:pPr>
        <w:framePr w:w="7433" w:h="584" w:hRule="exact" w:hSpace="181" w:vSpace="181" w:wrap="around" w:vAnchor="page" w:hAnchor="margin" w:xAlign="center" w:y="15151" w:anchorLock="1"/>
        <w:widowControl/>
        <w:spacing w:line="0" w:lineRule="atLeast"/>
        <w:jc w:val="center"/>
        <w:rPr>
          <w:rFonts w:hint="eastAsia"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AE1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03F8908">
            <w:pPr>
              <w:pStyle w:val="25"/>
              <w:framePr w:wrap="around"/>
              <w:rPr>
                <w:rFonts w:hAnsiTheme="minorHAnsi" w:cstheme="minorBidi"/>
              </w:rPr>
            </w:pPr>
            <w:r>
              <w:rPr>
                <w:rFonts w:hAnsiTheme="minorHAnsi" w:cstheme="minorBidi"/>
              </w:rPr>
              <w:t>ICS</w:t>
            </w:r>
          </w:p>
        </w:tc>
        <w:tc>
          <w:tcPr>
            <w:tcW w:w="9107" w:type="dxa"/>
          </w:tcPr>
          <w:p w14:paraId="5078F1D0">
            <w:pPr>
              <w:pStyle w:val="25"/>
              <w:framePr w:wrap="around"/>
              <w:rPr>
                <w:rFonts w:hAnsiTheme="minorHAnsi" w:cstheme="minorBidi"/>
              </w:rPr>
            </w:pPr>
          </w:p>
        </w:tc>
      </w:tr>
      <w:tr w14:paraId="2C5D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DC827EA">
            <w:pPr>
              <w:pStyle w:val="25"/>
              <w:framePr w:wrap="around"/>
              <w:rPr>
                <w:rFonts w:hAnsiTheme="minorHAnsi" w:cstheme="minorBidi"/>
              </w:rPr>
            </w:pPr>
            <w:r>
              <w:rPr>
                <w:rFonts w:hAnsiTheme="minorHAnsi" w:cstheme="minorBidi"/>
              </w:rPr>
              <w:t>CCS B</w:t>
            </w:r>
          </w:p>
        </w:tc>
        <w:tc>
          <w:tcPr>
            <w:tcW w:w="9107" w:type="dxa"/>
          </w:tcPr>
          <w:p w14:paraId="12B00D02">
            <w:pPr>
              <w:pStyle w:val="25"/>
              <w:framePr w:wrap="around"/>
              <w:rPr>
                <w:rFonts w:hAnsiTheme="minorHAnsi" w:cstheme="minorBidi"/>
              </w:rPr>
            </w:pPr>
          </w:p>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37A9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06EFC6C5">
                  <w:pPr>
                    <w:pStyle w:val="25"/>
                    <w:framePr w:wrap="around"/>
                    <w:ind w:left="0" w:leftChars="0" w:firstLine="2747"/>
                    <w:jc w:val="right"/>
                    <w:rPr>
                      <w:rFonts w:ascii="Times New Roman" w:eastAsia="宋体" w:hAnsiTheme="minorHAnsi" w:cstheme="minorBidi"/>
                      <w:b/>
                      <w:w w:val="130"/>
                      <w:kern w:val="0"/>
                    </w:rPr>
                  </w:pPr>
                  <w:r>
                    <w:rPr>
                      <w:rFonts w:hint="default" w:hAnsi="黑体" w:cs="楷体"/>
                      <w:b/>
                      <w:w w:val="130"/>
                      <w:kern w:val="0"/>
                      <w:sz w:val="96"/>
                    </w:rPr>
                    <w:t>T/CGFA</w:t>
                  </w:r>
                </w:p>
              </w:tc>
            </w:tr>
          </w:tbl>
          <w:p w14:paraId="6D5D38E9">
            <w:pPr>
              <w:pStyle w:val="25"/>
              <w:framePr w:wrap="around"/>
              <w:rPr>
                <w:rFonts w:hAnsiTheme="minorHAnsi" w:cstheme="minorBidi"/>
              </w:rPr>
            </w:pPr>
          </w:p>
        </w:tc>
      </w:tr>
      <w:tr w14:paraId="6922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DC6B404">
            <w:pPr>
              <w:pStyle w:val="25"/>
              <w:framePr w:wrap="around"/>
              <w:rPr>
                <w:rFonts w:hAnsiTheme="minorHAnsi" w:cstheme="minorBidi"/>
              </w:rPr>
            </w:pPr>
          </w:p>
        </w:tc>
        <w:tc>
          <w:tcPr>
            <w:tcW w:w="9107" w:type="dxa"/>
          </w:tcPr>
          <w:p w14:paraId="1AF4C816">
            <w:pPr>
              <w:pStyle w:val="25"/>
              <w:framePr w:wrap="around"/>
              <w:ind w:left="0" w:leftChars="0" w:firstLine="0" w:firstLineChars="0"/>
              <w:rPr>
                <w:rFonts w:hAnsiTheme="minorHAnsi" w:cstheme="minorBidi"/>
              </w:rPr>
            </w:pPr>
          </w:p>
          <w:p w14:paraId="3BACA42C">
            <w:pPr>
              <w:pStyle w:val="25"/>
              <w:framePr w:wrap="around"/>
              <w:rPr>
                <w:rFonts w:hAnsiTheme="minorHAnsi" w:cstheme="minorBidi"/>
              </w:rPr>
            </w:pPr>
            <w:r>
              <w:rPr>
                <w:rFonts w:hAnsiTheme="minorHAnsi" w:cstheme="minorBidi"/>
              </w:rPr>
              <w:t xml:space="preserve"> </w:t>
            </w:r>
          </w:p>
        </w:tc>
      </w:tr>
    </w:tbl>
    <w:p w14:paraId="7E756EE6">
      <w:pPr>
        <w:rPr>
          <w:rFonts w:hint="eastAsia"/>
        </w:rPr>
        <w:sectPr>
          <w:pgSz w:w="11906" w:h="16838"/>
          <w:pgMar w:top="1440" w:right="1800" w:bottom="1440" w:left="1800" w:header="851" w:footer="992" w:gutter="0"/>
          <w:cols w:space="425" w:num="1"/>
          <w:docGrid w:type="lines" w:linePitch="312" w:charSpace="0"/>
        </w:sectPr>
      </w:pPr>
    </w:p>
    <w:p w14:paraId="7A2C7805">
      <w:pPr>
        <w:jc w:val="center"/>
        <w:rPr>
          <w:rFonts w:hint="eastAsia" w:ascii="黑体" w:hAnsi="黑体" w:eastAsia="黑体"/>
          <w:bCs/>
          <w:sz w:val="32"/>
          <w:szCs w:val="32"/>
        </w:rPr>
      </w:pPr>
      <w:r>
        <w:rPr>
          <w:rFonts w:hint="eastAsia" w:ascii="黑体" w:hAnsi="黑体" w:eastAsia="黑体"/>
          <w:bCs/>
          <w:sz w:val="32"/>
          <w:szCs w:val="32"/>
        </w:rPr>
        <w:t>前   言</w:t>
      </w:r>
    </w:p>
    <w:p w14:paraId="17054B6F">
      <w:pPr>
        <w:ind w:firstLine="420" w:firstLineChars="200"/>
        <w:rPr>
          <w:rFonts w:hint="eastAsia" w:ascii="宋体" w:hAnsi="宋体" w:eastAsia="宋体"/>
        </w:rPr>
      </w:pPr>
      <w:r>
        <w:rPr>
          <w:rFonts w:hint="eastAsia" w:ascii="宋体" w:hAnsi="宋体" w:eastAsia="宋体"/>
        </w:rPr>
        <w:t>本文件按照 GB/T 1.1-2020《标准化工作导则 第1部分：标准化文件的结构和起草规则》的规则起草。</w:t>
      </w:r>
    </w:p>
    <w:p w14:paraId="412B9F4A">
      <w:pPr>
        <w:ind w:firstLine="420" w:firstLineChars="200"/>
        <w:rPr>
          <w:rFonts w:hint="eastAsia" w:ascii="宋体" w:hAnsi="宋体" w:eastAsia="宋体"/>
        </w:rPr>
      </w:pPr>
      <w:r>
        <w:rPr>
          <w:rFonts w:hint="eastAsia" w:ascii="宋体" w:hAnsi="宋体" w:eastAsia="宋体"/>
        </w:rPr>
        <w:t>请注意本文件的某些内容可能涉及专利，本文件的发布机构不承担识别专利的责任。</w:t>
      </w:r>
    </w:p>
    <w:p w14:paraId="418ABC0A">
      <w:pPr>
        <w:ind w:firstLine="420" w:firstLineChars="200"/>
        <w:rPr>
          <w:rFonts w:hint="eastAsia" w:ascii="宋体" w:hAnsi="宋体" w:eastAsia="宋体"/>
        </w:rPr>
      </w:pPr>
      <w:r>
        <w:rPr>
          <w:rFonts w:hint="eastAsia" w:ascii="宋体" w:hAnsi="宋体" w:eastAsia="宋体"/>
        </w:rPr>
        <w:t>本文件由中国绿色食品发展中心提出。</w:t>
      </w:r>
    </w:p>
    <w:p w14:paraId="025CA387">
      <w:pPr>
        <w:ind w:firstLine="420" w:firstLineChars="200"/>
        <w:rPr>
          <w:rFonts w:hint="eastAsia" w:ascii="宋体" w:hAnsi="宋体" w:eastAsia="宋体"/>
        </w:rPr>
      </w:pPr>
      <w:r>
        <w:rPr>
          <w:rFonts w:hint="eastAsia" w:ascii="宋体" w:hAnsi="宋体" w:eastAsia="宋体"/>
        </w:rPr>
        <w:t>本文件由中国绿色食品协会归口。</w:t>
      </w:r>
    </w:p>
    <w:p w14:paraId="36FA27FE">
      <w:pPr>
        <w:ind w:firstLine="420" w:firstLineChars="200"/>
        <w:rPr>
          <w:rFonts w:hint="eastAsia" w:ascii="宋体" w:hAnsi="宋体" w:eastAsia="宋体"/>
          <w:b/>
          <w:lang w:eastAsia="zh-CN"/>
        </w:rPr>
      </w:pPr>
      <w:r>
        <w:rPr>
          <w:rFonts w:hint="eastAsia" w:ascii="宋体" w:hAnsi="宋体" w:eastAsia="宋体"/>
        </w:rPr>
        <w:t>本标准起草单位：</w:t>
      </w:r>
      <w:r>
        <w:rPr>
          <w:rFonts w:hint="eastAsia" w:ascii="宋体" w:hAnsi="宋体" w:eastAsia="宋体"/>
          <w:lang w:val="en-US" w:eastAsia="zh-CN"/>
        </w:rPr>
        <w:t>*</w:t>
      </w:r>
      <w:bookmarkStart w:id="55" w:name="_GoBack"/>
      <w:bookmarkEnd w:id="55"/>
    </w:p>
    <w:p w14:paraId="773AA45E">
      <w:pPr>
        <w:ind w:firstLine="420" w:firstLineChars="200"/>
        <w:rPr>
          <w:rFonts w:hint="eastAsia" w:ascii="宋体" w:hAnsi="宋体" w:eastAsia="宋体"/>
          <w:lang w:val="en-US" w:eastAsia="zh-CN"/>
        </w:rPr>
      </w:pPr>
      <w:r>
        <w:rPr>
          <w:rFonts w:hint="eastAsia" w:ascii="宋体" w:hAnsi="宋体" w:eastAsia="宋体"/>
        </w:rPr>
        <w:t>本标准主要起草人：</w:t>
      </w:r>
      <w:bookmarkStart w:id="3" w:name="OLE_LINK16"/>
      <w:bookmarkStart w:id="4" w:name="OLE_LINK15"/>
      <w:r>
        <w:rPr>
          <w:rFonts w:hint="eastAsia" w:ascii="宋体" w:hAnsi="宋体" w:eastAsia="宋体"/>
          <w:lang w:val="en-US" w:eastAsia="zh-CN"/>
        </w:rPr>
        <w:t>*</w:t>
      </w:r>
    </w:p>
    <w:p w14:paraId="7C3DF0B1">
      <w:pPr>
        <w:ind w:firstLine="420" w:firstLineChars="200"/>
        <w:rPr>
          <w:rFonts w:hint="eastAsia" w:ascii="宋体" w:hAnsi="宋体" w:eastAsia="宋体"/>
        </w:rPr>
      </w:pPr>
      <w:r>
        <w:rPr>
          <w:rFonts w:hint="eastAsia" w:ascii="宋体" w:hAnsi="宋体" w:eastAsia="宋体" w:cs="宋体"/>
          <w:kern w:val="0"/>
          <w:szCs w:val="21"/>
        </w:rPr>
        <w:t>本文件批准发布后，因个别内容需要进行修改，或者对原文件内容进行增减时，可采用修改单方式修改本文件。</w:t>
      </w:r>
    </w:p>
    <w:bookmarkEnd w:id="3"/>
    <w:bookmarkEnd w:id="4"/>
    <w:p w14:paraId="6F47AE2F">
      <w:pPr>
        <w:ind w:firstLine="420" w:firstLineChars="200"/>
        <w:rPr>
          <w:rFonts w:hint="eastAsia" w:ascii="宋体" w:hAnsi="宋体" w:eastAsia="宋体"/>
        </w:rPr>
      </w:pPr>
      <w:r>
        <w:rPr>
          <w:rFonts w:hint="eastAsia" w:ascii="宋体" w:hAnsi="宋体" w:eastAsia="宋体"/>
        </w:rPr>
        <w:t>本文件为首次制定。</w:t>
      </w:r>
    </w:p>
    <w:p w14:paraId="2BF232E4">
      <w:pPr>
        <w:rPr>
          <w:rFonts w:hint="eastAsia"/>
        </w:rPr>
      </w:pPr>
    </w:p>
    <w:p w14:paraId="05972B60">
      <w:pPr>
        <w:rPr>
          <w:rFonts w:hint="eastAsia"/>
        </w:rPr>
        <w:sectPr>
          <w:pgSz w:w="11906" w:h="16838"/>
          <w:pgMar w:top="1440" w:right="1800" w:bottom="1440" w:left="1800" w:header="851" w:footer="992" w:gutter="0"/>
          <w:cols w:space="425" w:num="1"/>
          <w:docGrid w:type="lines" w:linePitch="312" w:charSpace="0"/>
        </w:sectPr>
      </w:pPr>
    </w:p>
    <w:p w14:paraId="1367AD7C">
      <w:pPr>
        <w:widowControl/>
        <w:ind w:firstLine="960" w:firstLineChars="300"/>
        <w:jc w:val="left"/>
        <w:rPr>
          <w:rFonts w:hint="eastAsia" w:ascii="黑体" w:hAnsi="黑体" w:eastAsia="黑体" w:cs="黑体"/>
          <w:kern w:val="0"/>
          <w:sz w:val="32"/>
          <w:szCs w:val="32"/>
        </w:rPr>
      </w:pPr>
      <w:r>
        <w:rPr>
          <w:rFonts w:hint="eastAsia" w:ascii="黑体" w:hAnsi="黑体" w:eastAsia="黑体" w:cs="黑体"/>
          <w:kern w:val="0"/>
          <w:sz w:val="32"/>
          <w:szCs w:val="32"/>
        </w:rPr>
        <w:t>绿色食品 西北黄土高原地区苹果生产操作规程</w:t>
      </w:r>
    </w:p>
    <w:p w14:paraId="0B773CF3">
      <w:pPr>
        <w:pStyle w:val="30"/>
        <w:numPr>
          <w:ilvl w:val="0"/>
          <w:numId w:val="1"/>
        </w:numPr>
        <w:spacing w:before="312" w:after="312"/>
      </w:pPr>
      <w:r>
        <w:rPr>
          <w:rFonts w:hint="eastAsia"/>
        </w:rPr>
        <w:t>范围</w:t>
      </w:r>
    </w:p>
    <w:p w14:paraId="2C6D2A01">
      <w:pPr>
        <w:ind w:firstLine="420" w:firstLineChars="200"/>
        <w:rPr>
          <w:rFonts w:hint="eastAsia" w:ascii="宋体" w:hAnsi="宋体" w:eastAsia="宋体" w:cs="仿宋"/>
          <w:bCs/>
          <w:szCs w:val="21"/>
        </w:rPr>
      </w:pPr>
      <w:bookmarkStart w:id="5" w:name="_Hlk172796474"/>
      <w:r>
        <w:rPr>
          <w:rFonts w:hint="eastAsia" w:ascii="宋体" w:hAnsi="宋体" w:eastAsia="宋体" w:cs="仿宋"/>
          <w:bCs/>
          <w:szCs w:val="21"/>
        </w:rPr>
        <w:t>本文件规定了</w:t>
      </w:r>
      <w:bookmarkStart w:id="6" w:name="_Hlk224916410"/>
      <w:r>
        <w:rPr>
          <w:rFonts w:hint="eastAsia" w:ascii="宋体" w:hAnsi="宋体" w:eastAsia="宋体" w:cs="仿宋"/>
          <w:bCs/>
          <w:szCs w:val="21"/>
        </w:rPr>
        <w:t>西北黄土高原地区绿色食品苹果</w:t>
      </w:r>
      <w:bookmarkStart w:id="7" w:name="_Hlk224887438"/>
      <w:r>
        <w:rPr>
          <w:rFonts w:hint="eastAsia" w:ascii="宋体" w:hAnsi="宋体" w:eastAsia="宋体" w:cs="仿宋"/>
          <w:bCs/>
          <w:szCs w:val="21"/>
        </w:rPr>
        <w:t>生产园地环境与规划、品种与苗木选择、整地与定植、田间管理、采收、生产废弃物处理、包装、运输及储藏和生产档案管理</w:t>
      </w:r>
      <w:bookmarkEnd w:id="6"/>
      <w:r>
        <w:rPr>
          <w:rFonts w:hint="eastAsia" w:ascii="宋体" w:hAnsi="宋体" w:eastAsia="宋体" w:cs="仿宋"/>
          <w:bCs/>
          <w:szCs w:val="21"/>
        </w:rPr>
        <w:t>。</w:t>
      </w:r>
      <w:bookmarkEnd w:id="7"/>
    </w:p>
    <w:p w14:paraId="7869F404">
      <w:pPr>
        <w:ind w:firstLine="420" w:firstLineChars="200"/>
        <w:rPr>
          <w:rFonts w:hint="eastAsia" w:ascii="宋体" w:hAnsi="宋体" w:eastAsia="宋体" w:cs="仿宋_GB2312"/>
          <w:bCs/>
          <w:szCs w:val="21"/>
        </w:rPr>
      </w:pPr>
      <w:r>
        <w:rPr>
          <w:rFonts w:hint="eastAsia" w:ascii="宋体" w:hAnsi="宋体" w:eastAsia="宋体" w:cs="仿宋"/>
          <w:bCs/>
          <w:szCs w:val="21"/>
        </w:rPr>
        <w:t>本文件适用于于</w:t>
      </w:r>
      <w:bookmarkStart w:id="8" w:name="_Hlk224916800"/>
      <w:r>
        <w:rPr>
          <w:rFonts w:hint="eastAsia" w:ascii="宋体" w:hAnsi="宋体" w:eastAsia="宋体" w:cs="仿宋"/>
          <w:bCs/>
          <w:szCs w:val="21"/>
        </w:rPr>
        <w:t>山西南部和中部、河南三门峡地区、陕西渭北地区和陕西南部、甘肃东部和南部的绿色食品苹果生产</w:t>
      </w:r>
      <w:bookmarkEnd w:id="8"/>
      <w:r>
        <w:rPr>
          <w:rFonts w:hint="eastAsia" w:ascii="宋体" w:hAnsi="宋体" w:eastAsia="宋体" w:cs="仿宋"/>
          <w:bCs/>
          <w:szCs w:val="21"/>
        </w:rPr>
        <w:t>。</w:t>
      </w:r>
    </w:p>
    <w:bookmarkEnd w:id="5"/>
    <w:p w14:paraId="423E3D81">
      <w:pPr>
        <w:pStyle w:val="30"/>
        <w:numPr>
          <w:ilvl w:val="0"/>
          <w:numId w:val="1"/>
        </w:numPr>
        <w:spacing w:before="312" w:after="312"/>
      </w:pPr>
      <w:r>
        <w:rPr>
          <w:rFonts w:hint="eastAsia"/>
        </w:rPr>
        <w:t>规范性引用文件</w:t>
      </w:r>
    </w:p>
    <w:p w14:paraId="68CA6004">
      <w:pPr>
        <w:pStyle w:val="31"/>
        <w:ind w:firstLine="420"/>
        <w:rPr>
          <w:rFonts w:hAnsi="宋体" w:cs="仿宋"/>
          <w:bCs/>
          <w:szCs w:val="21"/>
        </w:rPr>
      </w:pPr>
      <w:sdt>
        <w:sdt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09C156F3">
      <w:pPr>
        <w:ind w:firstLine="420"/>
        <w:rPr>
          <w:rFonts w:hint="eastAsia" w:ascii="宋体" w:hAnsi="宋体" w:eastAsia="宋体" w:cs="仿宋"/>
          <w:bCs/>
          <w:szCs w:val="21"/>
        </w:rPr>
      </w:pPr>
      <w:r>
        <w:rPr>
          <w:rFonts w:hint="eastAsia" w:ascii="宋体" w:hAnsi="宋体" w:eastAsia="宋体" w:cs="仿宋"/>
          <w:bCs/>
          <w:szCs w:val="21"/>
        </w:rPr>
        <w:t>NY 329    苹果无病毒母本树和苗木</w:t>
      </w:r>
    </w:p>
    <w:p w14:paraId="14FF2475">
      <w:pPr>
        <w:ind w:firstLine="420"/>
        <w:rPr>
          <w:rFonts w:hint="eastAsia" w:ascii="宋体" w:hAnsi="宋体" w:eastAsia="宋体" w:cs="仿宋"/>
          <w:bCs/>
          <w:szCs w:val="21"/>
        </w:rPr>
      </w:pPr>
      <w:r>
        <w:rPr>
          <w:rFonts w:hint="eastAsia" w:ascii="宋体" w:hAnsi="宋体" w:eastAsia="宋体" w:cs="仿宋"/>
          <w:bCs/>
          <w:szCs w:val="21"/>
        </w:rPr>
        <w:t>NY/T 391  绿色食品 产地质量环境</w:t>
      </w:r>
    </w:p>
    <w:p w14:paraId="1B265C32">
      <w:pPr>
        <w:ind w:firstLine="420"/>
        <w:rPr>
          <w:rFonts w:hint="eastAsia" w:ascii="宋体" w:hAnsi="宋体" w:eastAsia="宋体" w:cs="仿宋"/>
          <w:bCs/>
          <w:szCs w:val="21"/>
        </w:rPr>
      </w:pPr>
      <w:r>
        <w:rPr>
          <w:rFonts w:hint="eastAsia" w:ascii="宋体" w:hAnsi="宋体" w:eastAsia="宋体" w:cs="仿宋"/>
          <w:bCs/>
          <w:szCs w:val="21"/>
        </w:rPr>
        <w:t>NY/T 393  绿色食品 农药使用准则</w:t>
      </w:r>
    </w:p>
    <w:p w14:paraId="29ABACC7">
      <w:pPr>
        <w:ind w:firstLine="420"/>
        <w:rPr>
          <w:rFonts w:hint="eastAsia" w:ascii="宋体" w:hAnsi="宋体" w:eastAsia="宋体" w:cs="仿宋"/>
          <w:bCs/>
          <w:szCs w:val="21"/>
        </w:rPr>
      </w:pPr>
      <w:r>
        <w:rPr>
          <w:rFonts w:hint="eastAsia" w:ascii="宋体" w:hAnsi="宋体" w:eastAsia="宋体" w:cs="仿宋"/>
          <w:bCs/>
          <w:szCs w:val="21"/>
        </w:rPr>
        <w:t>NY/T 394  绿色食品 肥料使用准则</w:t>
      </w:r>
    </w:p>
    <w:p w14:paraId="3A101420">
      <w:pPr>
        <w:ind w:firstLine="420"/>
        <w:rPr>
          <w:rFonts w:hint="eastAsia" w:ascii="宋体" w:hAnsi="宋体" w:eastAsia="宋体" w:cs="仿宋"/>
          <w:bCs/>
          <w:szCs w:val="21"/>
        </w:rPr>
      </w:pPr>
      <w:r>
        <w:rPr>
          <w:rFonts w:hint="eastAsia" w:ascii="宋体" w:hAnsi="宋体" w:eastAsia="宋体" w:cs="仿宋"/>
          <w:bCs/>
          <w:szCs w:val="21"/>
        </w:rPr>
        <w:t>NY/T 658  绿色食品 包装通用准则</w:t>
      </w:r>
    </w:p>
    <w:p w14:paraId="50B1BAF1">
      <w:pPr>
        <w:ind w:firstLine="420"/>
        <w:rPr>
          <w:rFonts w:hint="eastAsia" w:ascii="宋体" w:hAnsi="宋体" w:eastAsia="宋体" w:cs="仿宋"/>
          <w:bCs/>
          <w:szCs w:val="21"/>
        </w:rPr>
      </w:pPr>
      <w:bookmarkStart w:id="9" w:name="_Toc28078"/>
      <w:bookmarkEnd w:id="9"/>
      <w:bookmarkStart w:id="10" w:name="_Toc5427"/>
      <w:bookmarkEnd w:id="10"/>
      <w:bookmarkStart w:id="11" w:name="_Toc27728"/>
      <w:bookmarkEnd w:id="11"/>
      <w:bookmarkStart w:id="12" w:name="_Toc10979"/>
      <w:bookmarkEnd w:id="12"/>
      <w:bookmarkStart w:id="13" w:name="_Toc30057"/>
      <w:bookmarkEnd w:id="13"/>
      <w:bookmarkStart w:id="14" w:name="_Toc21022"/>
      <w:bookmarkEnd w:id="14"/>
      <w:bookmarkStart w:id="15" w:name="_Toc29974"/>
      <w:bookmarkEnd w:id="15"/>
      <w:bookmarkStart w:id="16" w:name="_Toc25597"/>
      <w:bookmarkEnd w:id="16"/>
      <w:bookmarkStart w:id="17" w:name="_Toc27726"/>
      <w:bookmarkEnd w:id="17"/>
      <w:bookmarkStart w:id="18" w:name="_Toc9469"/>
      <w:bookmarkEnd w:id="18"/>
      <w:bookmarkStart w:id="19" w:name="_Toc3870"/>
      <w:bookmarkEnd w:id="19"/>
      <w:bookmarkStart w:id="20" w:name="_Toc26022"/>
      <w:bookmarkEnd w:id="20"/>
      <w:bookmarkStart w:id="21" w:name="_Toc9948"/>
      <w:bookmarkEnd w:id="21"/>
      <w:bookmarkStart w:id="22" w:name="_Toc9227"/>
      <w:r>
        <w:rPr>
          <w:rFonts w:hint="eastAsia" w:ascii="宋体" w:hAnsi="宋体" w:eastAsia="宋体" w:cs="仿宋"/>
          <w:bCs/>
          <w:szCs w:val="21"/>
        </w:rPr>
        <w:t>NY/T 1056 绿色食品 储藏运输准则</w:t>
      </w:r>
      <w:bookmarkEnd w:id="22"/>
    </w:p>
    <w:p w14:paraId="5685CF29">
      <w:pPr>
        <w:pStyle w:val="30"/>
        <w:numPr>
          <w:ilvl w:val="0"/>
          <w:numId w:val="1"/>
        </w:numPr>
        <w:spacing w:before="312" w:after="312"/>
      </w:pPr>
      <w:bookmarkStart w:id="23" w:name="OLE_LINK17"/>
      <w:r>
        <w:rPr>
          <w:rFonts w:hint="eastAsia"/>
        </w:rPr>
        <w:t>园地环境与规划</w:t>
      </w:r>
      <w:bookmarkEnd w:id="23"/>
    </w:p>
    <w:p w14:paraId="0BA03EA8">
      <w:pPr>
        <w:pStyle w:val="36"/>
        <w:ind w:firstLine="0" w:firstLineChars="0"/>
        <w:rPr>
          <w:rFonts w:hint="eastAsia" w:ascii="黑体" w:hAnsi="黑体" w:eastAsia="黑体" w:cs="宋体"/>
        </w:rPr>
      </w:pPr>
      <w:bookmarkStart w:id="24" w:name="_Toc493812336"/>
      <w:r>
        <w:rPr>
          <w:rFonts w:hint="eastAsia" w:ascii="黑体" w:hAnsi="黑体" w:eastAsia="黑体" w:cs="宋体"/>
        </w:rPr>
        <w:t xml:space="preserve">3.1 </w:t>
      </w:r>
      <w:r>
        <w:rPr>
          <w:rFonts w:hint="eastAsia" w:ascii="黑体" w:hAnsi="黑体" w:eastAsia="黑体" w:cs="黑体"/>
          <w:color w:val="000000"/>
        </w:rPr>
        <w:t>环境条件</w:t>
      </w:r>
    </w:p>
    <w:p w14:paraId="1D905E58">
      <w:pPr>
        <w:ind w:firstLine="404" w:firstLineChars="200"/>
        <w:rPr>
          <w:rFonts w:hint="eastAsia" w:ascii="宋体" w:hAnsi="宋体" w:eastAsia="宋体" w:cs="宋体"/>
          <w:spacing w:val="-4"/>
          <w:szCs w:val="21"/>
        </w:rPr>
      </w:pPr>
      <w:r>
        <w:rPr>
          <w:rFonts w:hint="eastAsia" w:ascii="宋体" w:hAnsi="宋体" w:eastAsia="宋体" w:cs="宋体"/>
          <w:spacing w:val="-4"/>
          <w:szCs w:val="21"/>
        </w:rPr>
        <w:t>园地环境应符合NY/T 391的规定。</w:t>
      </w:r>
      <w:bookmarkEnd w:id="24"/>
      <w:bookmarkStart w:id="25" w:name="_Toc493812337"/>
      <w:r>
        <w:rPr>
          <w:rFonts w:hint="eastAsia" w:ascii="宋体" w:hAnsi="宋体" w:eastAsia="宋体" w:cs="宋体"/>
          <w:spacing w:val="-4"/>
          <w:szCs w:val="21"/>
        </w:rPr>
        <w:t>土壤肥沃的平塬地或坡度小于15°南向或西南向缓坡地、台地为宜。年平均气温8℃～13℃，绝对低温不低于-25℃，1月份平均气温不低于-10℃，年降雨量400mm以上。土壤有机质含量达到1.0%以上，土层深厚，活土层在60㎝以上，土壤pH7.0～8.5。</w:t>
      </w:r>
    </w:p>
    <w:p w14:paraId="468008FF">
      <w:pPr>
        <w:rPr>
          <w:rFonts w:hint="eastAsia" w:ascii="黑体" w:hAnsi="黑体" w:eastAsia="黑体" w:cs="宋体"/>
          <w:szCs w:val="21"/>
        </w:rPr>
      </w:pPr>
      <w:r>
        <w:rPr>
          <w:rFonts w:hint="eastAsia" w:ascii="黑体" w:hAnsi="黑体" w:eastAsia="黑体" w:cs="宋体"/>
          <w:szCs w:val="21"/>
        </w:rPr>
        <w:t xml:space="preserve">3.2 </w:t>
      </w:r>
      <w:r>
        <w:rPr>
          <w:rFonts w:hint="eastAsia" w:ascii="黑体" w:hAnsi="黑体" w:eastAsia="黑体" w:cs="黑体"/>
          <w:color w:val="000000"/>
          <w:szCs w:val="21"/>
        </w:rPr>
        <w:t>建园</w:t>
      </w:r>
    </w:p>
    <w:p w14:paraId="38E5ECDD">
      <w:pPr>
        <w:widowControl/>
        <w:ind w:firstLine="404" w:firstLineChars="200"/>
        <w:rPr>
          <w:rFonts w:ascii="Times New Roman" w:hAnsi="Times New Roman" w:eastAsia="宋体" w:cs="宋体"/>
          <w:spacing w:val="-4"/>
          <w:kern w:val="0"/>
          <w:szCs w:val="21"/>
        </w:rPr>
      </w:pPr>
      <w:r>
        <w:rPr>
          <w:rFonts w:hint="eastAsia" w:ascii="Times New Roman" w:hAnsi="Times New Roman" w:eastAsia="宋体" w:cs="宋体"/>
          <w:spacing w:val="-4"/>
          <w:kern w:val="0"/>
          <w:szCs w:val="21"/>
        </w:rPr>
        <w:t>选择平地或背风向阳的南向、东南向坡面栽植，避免重茬。在建园前，要根据经济自然条件、交通、劳力、市场、占地条件等科学规划，合理安排道路、建筑物和排灌系统</w:t>
      </w:r>
      <w:bookmarkEnd w:id="25"/>
      <w:r>
        <w:rPr>
          <w:rFonts w:hint="eastAsia" w:ascii="Times New Roman" w:hAnsi="Times New Roman" w:eastAsia="宋体" w:cs="宋体"/>
          <w:spacing w:val="-4"/>
          <w:kern w:val="0"/>
          <w:szCs w:val="21"/>
        </w:rPr>
        <w:t>。</w:t>
      </w:r>
    </w:p>
    <w:p w14:paraId="67BCA609">
      <w:pPr>
        <w:rPr>
          <w:rFonts w:hint="eastAsia" w:ascii="黑体" w:hAnsi="黑体" w:eastAsia="黑体" w:cs="宋体"/>
          <w:szCs w:val="21"/>
        </w:rPr>
      </w:pPr>
      <w:bookmarkStart w:id="26" w:name="_Toc493812338"/>
      <w:r>
        <w:rPr>
          <w:rFonts w:hint="eastAsia" w:ascii="黑体" w:hAnsi="黑体" w:eastAsia="黑体" w:cs="宋体"/>
          <w:szCs w:val="21"/>
        </w:rPr>
        <w:t xml:space="preserve">3.3 </w:t>
      </w:r>
      <w:r>
        <w:rPr>
          <w:rFonts w:hint="eastAsia" w:ascii="黑体" w:hAnsi="黑体" w:eastAsia="黑体" w:cs="黑体"/>
          <w:color w:val="000000"/>
          <w:szCs w:val="21"/>
        </w:rPr>
        <w:t>道路设计</w:t>
      </w:r>
    </w:p>
    <w:p w14:paraId="4B3A999C">
      <w:pPr>
        <w:widowControl/>
        <w:ind w:firstLine="404" w:firstLineChars="200"/>
        <w:rPr>
          <w:rFonts w:ascii="Times New Roman" w:hAnsi="Times New Roman" w:eastAsia="宋体" w:cs="宋体"/>
          <w:spacing w:val="-4"/>
          <w:kern w:val="0"/>
          <w:szCs w:val="21"/>
        </w:rPr>
      </w:pPr>
      <w:r>
        <w:rPr>
          <w:rFonts w:hint="eastAsia" w:ascii="Times New Roman" w:hAnsi="Times New Roman" w:eastAsia="宋体" w:cs="宋体"/>
          <w:spacing w:val="-4"/>
          <w:kern w:val="0"/>
          <w:szCs w:val="21"/>
        </w:rPr>
        <w:t>设置主干道、支道、人行道。主干道宽5m～6m，外接公路，贯穿全园，能通大货车；支道宽3m～4m，外接主干道，内通各小区，能通手扶拖拉机或小四轮车；人行道宽2m～2.5m，外与支道连，内通各栽植行。</w:t>
      </w:r>
      <w:bookmarkEnd w:id="26"/>
    </w:p>
    <w:p w14:paraId="2223D68E">
      <w:pPr>
        <w:rPr>
          <w:rFonts w:hint="eastAsia" w:ascii="黑体" w:hAnsi="黑体" w:eastAsia="黑体" w:cs="宋体"/>
          <w:szCs w:val="21"/>
        </w:rPr>
      </w:pPr>
      <w:r>
        <w:rPr>
          <w:rFonts w:hint="eastAsia" w:ascii="黑体" w:hAnsi="黑体" w:eastAsia="黑体" w:cs="宋体"/>
          <w:szCs w:val="21"/>
        </w:rPr>
        <w:t xml:space="preserve">3.4 </w:t>
      </w:r>
      <w:r>
        <w:rPr>
          <w:rFonts w:hint="eastAsia" w:ascii="黑体" w:hAnsi="黑体" w:eastAsia="黑体" w:cs="黑体"/>
          <w:color w:val="000000"/>
          <w:szCs w:val="21"/>
        </w:rPr>
        <w:t>小区划分</w:t>
      </w:r>
    </w:p>
    <w:p w14:paraId="53EADA1B">
      <w:pPr>
        <w:widowControl/>
        <w:ind w:firstLine="404" w:firstLineChars="200"/>
        <w:rPr>
          <w:rFonts w:ascii="Times New Roman" w:hAnsi="Times New Roman" w:eastAsia="宋体" w:cs="宋体"/>
          <w:spacing w:val="-4"/>
          <w:kern w:val="0"/>
          <w:szCs w:val="21"/>
        </w:rPr>
      </w:pPr>
      <w:r>
        <w:rPr>
          <w:rFonts w:hint="eastAsia" w:ascii="Times New Roman" w:hAnsi="Times New Roman" w:eastAsia="宋体" w:cs="宋体"/>
          <w:spacing w:val="-4"/>
          <w:kern w:val="0"/>
          <w:szCs w:val="21"/>
        </w:rPr>
        <w:t>根据地形、地势划分小区，使同一小区内土壤、光照等条件大体一致，有利于运输和机械化，以方便灌溉和管理为原则。小区面积15亩～45亩。</w:t>
      </w:r>
    </w:p>
    <w:p w14:paraId="73BE1373">
      <w:pPr>
        <w:rPr>
          <w:rFonts w:hint="eastAsia" w:ascii="黑体" w:hAnsi="黑体" w:eastAsia="黑体" w:cs="宋体"/>
          <w:szCs w:val="21"/>
        </w:rPr>
      </w:pPr>
      <w:r>
        <w:rPr>
          <w:rFonts w:hint="eastAsia" w:ascii="黑体" w:hAnsi="黑体" w:eastAsia="黑体" w:cs="宋体"/>
          <w:szCs w:val="21"/>
        </w:rPr>
        <w:t xml:space="preserve">3.5 </w:t>
      </w:r>
      <w:r>
        <w:rPr>
          <w:rFonts w:hint="eastAsia" w:ascii="黑体" w:hAnsi="黑体" w:eastAsia="黑体" w:cs="黑体"/>
          <w:color w:val="000000"/>
          <w:szCs w:val="21"/>
        </w:rPr>
        <w:t>栽植防护林</w:t>
      </w:r>
    </w:p>
    <w:p w14:paraId="5DFD1438">
      <w:pPr>
        <w:widowControl/>
        <w:ind w:firstLine="404" w:firstLineChars="200"/>
        <w:rPr>
          <w:rFonts w:ascii="Times New Roman" w:hAnsi="Times New Roman" w:eastAsia="宋体" w:cs="宋体"/>
          <w:spacing w:val="-4"/>
          <w:kern w:val="0"/>
          <w:szCs w:val="21"/>
        </w:rPr>
      </w:pPr>
      <w:r>
        <w:rPr>
          <w:rFonts w:hint="eastAsia" w:ascii="Times New Roman" w:hAnsi="Times New Roman" w:eastAsia="宋体" w:cs="宋体"/>
          <w:spacing w:val="-4"/>
          <w:kern w:val="0"/>
          <w:szCs w:val="21"/>
        </w:rPr>
        <w:t>选择适于当地生态条件、生长快、树体较高大、长寿、经济价值高、主根发达、水平根少、与苹果无共同病虫害及中间寄主的树种。防护林的主林带与苹果园有害风向垂直，栽2～3行树，三行呈梅花形栽植，两行呈三角形栽植。</w:t>
      </w:r>
    </w:p>
    <w:p w14:paraId="62FD5014">
      <w:pPr>
        <w:rPr>
          <w:rFonts w:ascii="Times New Roman" w:hAnsi="Times New Roman" w:eastAsia="宋体" w:cs="宋体"/>
          <w:szCs w:val="21"/>
        </w:rPr>
      </w:pPr>
      <w:bookmarkStart w:id="27" w:name="_Toc493812910"/>
      <w:bookmarkStart w:id="28" w:name="_Toc493812777"/>
      <w:bookmarkStart w:id="29" w:name="_Toc493812341"/>
    </w:p>
    <w:p w14:paraId="50FD827B">
      <w:pPr>
        <w:rPr>
          <w:rFonts w:hint="eastAsia" w:ascii="黑体" w:hAnsi="黑体" w:eastAsia="黑体" w:cs="宋体"/>
          <w:szCs w:val="21"/>
        </w:rPr>
      </w:pPr>
      <w:r>
        <w:rPr>
          <w:rFonts w:hint="eastAsia" w:ascii="黑体" w:hAnsi="黑体" w:eastAsia="黑体" w:cs="宋体"/>
          <w:szCs w:val="21"/>
        </w:rPr>
        <w:t xml:space="preserve">4   </w:t>
      </w:r>
      <w:r>
        <w:rPr>
          <w:rFonts w:hint="eastAsia" w:ascii="黑体" w:hAnsi="黑体" w:eastAsia="黑体" w:cs="黑体"/>
          <w:color w:val="000000"/>
          <w:szCs w:val="21"/>
        </w:rPr>
        <w:t>品种</w:t>
      </w:r>
      <w:bookmarkEnd w:id="27"/>
      <w:bookmarkEnd w:id="28"/>
      <w:bookmarkEnd w:id="29"/>
      <w:r>
        <w:rPr>
          <w:rFonts w:hint="eastAsia" w:ascii="黑体" w:hAnsi="黑体" w:eastAsia="黑体" w:cs="黑体"/>
          <w:color w:val="000000"/>
          <w:szCs w:val="21"/>
        </w:rPr>
        <w:t>与苗木选择</w:t>
      </w:r>
    </w:p>
    <w:p w14:paraId="3F56FEC8">
      <w:pPr>
        <w:rPr>
          <w:rFonts w:ascii="Times New Roman" w:hAnsi="Times New Roman" w:eastAsia="宋体" w:cs="Times New Roman"/>
          <w:szCs w:val="21"/>
        </w:rPr>
      </w:pPr>
    </w:p>
    <w:p w14:paraId="2883963B">
      <w:pPr>
        <w:rPr>
          <w:rFonts w:hint="eastAsia" w:ascii="黑体" w:hAnsi="黑体" w:eastAsia="黑体" w:cs="Times New Roman"/>
          <w:szCs w:val="21"/>
        </w:rPr>
      </w:pPr>
      <w:r>
        <w:rPr>
          <w:rFonts w:hint="eastAsia" w:ascii="黑体" w:hAnsi="黑体" w:eastAsia="黑体" w:cs="Times New Roman"/>
          <w:szCs w:val="21"/>
        </w:rPr>
        <w:t xml:space="preserve">4.1 </w:t>
      </w:r>
      <w:r>
        <w:rPr>
          <w:rFonts w:hint="eastAsia" w:ascii="黑体" w:hAnsi="黑体" w:eastAsia="黑体" w:cs="黑体"/>
          <w:color w:val="000000"/>
          <w:szCs w:val="21"/>
        </w:rPr>
        <w:t>选择原则</w:t>
      </w:r>
    </w:p>
    <w:p w14:paraId="5B271E56">
      <w:pPr>
        <w:widowControl/>
        <w:ind w:firstLine="404" w:firstLineChars="200"/>
        <w:rPr>
          <w:rFonts w:ascii="Times New Roman" w:hAnsi="Times New Roman" w:eastAsia="宋体" w:cs="Times New Roman"/>
          <w:kern w:val="0"/>
          <w:szCs w:val="21"/>
        </w:rPr>
      </w:pPr>
      <w:r>
        <w:rPr>
          <w:rFonts w:hint="eastAsia" w:ascii="Times New Roman" w:hAnsi="Times New Roman" w:eastAsia="宋体" w:cs="宋体"/>
          <w:spacing w:val="-4"/>
          <w:kern w:val="0"/>
          <w:szCs w:val="21"/>
        </w:rPr>
        <w:t>根据市场要求、品种特性、立地和气候条件而定。</w:t>
      </w:r>
    </w:p>
    <w:p w14:paraId="06C3BF55">
      <w:pPr>
        <w:rPr>
          <w:rFonts w:hint="eastAsia" w:ascii="黑体" w:hAnsi="黑体" w:eastAsia="黑体" w:cs="黑体"/>
          <w:color w:val="000000"/>
          <w:szCs w:val="21"/>
        </w:rPr>
      </w:pPr>
      <w:bookmarkStart w:id="30" w:name="_Toc493812346"/>
      <w:r>
        <w:rPr>
          <w:rFonts w:hint="eastAsia" w:ascii="黑体" w:hAnsi="黑体" w:eastAsia="黑体" w:cs="黑体"/>
          <w:color w:val="000000"/>
          <w:szCs w:val="21"/>
        </w:rPr>
        <w:t>4.2</w:t>
      </w:r>
      <w:r>
        <w:rPr>
          <w:rFonts w:hint="eastAsia" w:ascii="黑体" w:hAnsi="黑体" w:eastAsia="黑体" w:cs="黑体"/>
          <w:color w:val="000000"/>
          <w:szCs w:val="21"/>
        </w:rPr>
        <w:tab/>
      </w:r>
      <w:r>
        <w:rPr>
          <w:rFonts w:hint="eastAsia" w:ascii="黑体" w:hAnsi="黑体" w:eastAsia="黑体" w:cs="黑体"/>
          <w:color w:val="000000"/>
          <w:szCs w:val="21"/>
        </w:rPr>
        <w:t>品种选择</w:t>
      </w:r>
    </w:p>
    <w:p w14:paraId="1E8FDD8C">
      <w:pPr>
        <w:rPr>
          <w:rFonts w:hint="eastAsia" w:ascii="黑体" w:hAnsi="黑体" w:eastAsia="黑体" w:cs="黑体"/>
          <w:color w:val="000000"/>
          <w:szCs w:val="21"/>
        </w:rPr>
      </w:pPr>
      <w:r>
        <w:rPr>
          <w:rFonts w:hint="eastAsia" w:ascii="黑体" w:hAnsi="黑体" w:eastAsia="黑体" w:cs="黑体"/>
          <w:color w:val="000000"/>
          <w:szCs w:val="21"/>
        </w:rPr>
        <w:t>4.2.1 砧木</w:t>
      </w:r>
    </w:p>
    <w:p w14:paraId="10330A25">
      <w:pPr>
        <w:widowControl/>
        <w:ind w:firstLine="404" w:firstLineChars="200"/>
        <w:rPr>
          <w:rFonts w:ascii="Times New Roman" w:hAnsi="Times New Roman" w:eastAsia="宋体" w:cs="宋体"/>
          <w:kern w:val="0"/>
          <w:szCs w:val="21"/>
        </w:rPr>
      </w:pPr>
      <w:r>
        <w:rPr>
          <w:rFonts w:hint="eastAsia" w:ascii="Times New Roman" w:hAnsi="Times New Roman" w:eastAsia="宋体" w:cs="宋体"/>
          <w:spacing w:val="-4"/>
          <w:kern w:val="0"/>
          <w:szCs w:val="21"/>
        </w:rPr>
        <w:t>基砧以新疆野苹果</w:t>
      </w:r>
      <w:r>
        <w:rPr>
          <w:rFonts w:hint="eastAsia" w:ascii="Times New Roman" w:hAnsi="Times New Roman" w:eastAsia="宋体" w:cs="宋体"/>
          <w:kern w:val="0"/>
          <w:szCs w:val="21"/>
        </w:rPr>
        <w:t>、楸子、怀莱海棠、圆叶海棠等为主，中间砧以M26、M9等为宜，有条件的可选用M26、M9的自根砧苗。</w:t>
      </w:r>
    </w:p>
    <w:p w14:paraId="1118EF75">
      <w:pPr>
        <w:rPr>
          <w:rFonts w:hint="eastAsia" w:ascii="黑体" w:hAnsi="黑体" w:eastAsia="黑体" w:cs="黑体"/>
          <w:color w:val="000000"/>
          <w:szCs w:val="21"/>
        </w:rPr>
      </w:pPr>
      <w:r>
        <w:rPr>
          <w:rFonts w:hint="eastAsia" w:ascii="黑体" w:hAnsi="黑体" w:eastAsia="黑体" w:cs="黑体"/>
          <w:color w:val="000000"/>
          <w:szCs w:val="21"/>
        </w:rPr>
        <w:t>4.2.2 品种</w:t>
      </w:r>
    </w:p>
    <w:p w14:paraId="04A70FF5">
      <w:pPr>
        <w:widowControl/>
        <w:ind w:firstLine="404" w:firstLineChars="200"/>
        <w:rPr>
          <w:rFonts w:ascii="Times New Roman" w:hAnsi="Times New Roman" w:eastAsia="宋体" w:cs="宋体"/>
          <w:kern w:val="0"/>
          <w:szCs w:val="21"/>
        </w:rPr>
      </w:pPr>
      <w:r>
        <w:rPr>
          <w:rFonts w:hint="eastAsia" w:ascii="Times New Roman" w:hAnsi="Times New Roman" w:eastAsia="宋体" w:cs="宋体"/>
          <w:spacing w:val="-4"/>
          <w:kern w:val="0"/>
          <w:szCs w:val="21"/>
        </w:rPr>
        <w:t>晚熟品种以红富士优系为主</w:t>
      </w:r>
      <w:r>
        <w:rPr>
          <w:rFonts w:hint="eastAsia" w:ascii="Times New Roman" w:hAnsi="Times New Roman" w:eastAsia="宋体" w:cs="宋体"/>
          <w:kern w:val="0"/>
          <w:szCs w:val="21"/>
        </w:rPr>
        <w:t>，早中熟苹果以嘎拉优系为主，提倡积极引进发展瑞阳、瑞雪、秦脆及秦蜜等名优特新品种。</w:t>
      </w:r>
    </w:p>
    <w:p w14:paraId="181BE32D">
      <w:pPr>
        <w:rPr>
          <w:rFonts w:hint="eastAsia" w:ascii="黑体" w:hAnsi="黑体" w:eastAsia="黑体" w:cs="黑体"/>
          <w:color w:val="000000"/>
          <w:szCs w:val="21"/>
        </w:rPr>
      </w:pPr>
      <w:r>
        <w:rPr>
          <w:rFonts w:hint="eastAsia" w:ascii="黑体" w:hAnsi="黑体" w:eastAsia="黑体" w:cs="黑体"/>
          <w:color w:val="000000"/>
          <w:szCs w:val="21"/>
        </w:rPr>
        <w:t>4.2.3 苹果主栽品种与授粉品种配置</w:t>
      </w:r>
    </w:p>
    <w:p w14:paraId="00E6FF88">
      <w:pPr>
        <w:widowControl/>
        <w:ind w:firstLine="404" w:firstLineChars="200"/>
        <w:rPr>
          <w:rFonts w:ascii="Times New Roman" w:hAnsi="Times New Roman" w:eastAsia="宋体" w:cs="宋体"/>
          <w:kern w:val="0"/>
          <w:szCs w:val="21"/>
        </w:rPr>
      </w:pPr>
      <w:r>
        <w:rPr>
          <w:rFonts w:hint="eastAsia" w:ascii="Times New Roman" w:hAnsi="Times New Roman" w:eastAsia="宋体" w:cs="宋体"/>
          <w:spacing w:val="-4"/>
          <w:kern w:val="0"/>
          <w:szCs w:val="21"/>
        </w:rPr>
        <w:t>主栽品种</w:t>
      </w:r>
      <w:r>
        <w:rPr>
          <w:rFonts w:hint="eastAsia" w:ascii="Times New Roman" w:hAnsi="Times New Roman" w:eastAsia="宋体" w:cs="宋体"/>
          <w:kern w:val="0"/>
          <w:szCs w:val="21"/>
        </w:rPr>
        <w:t xml:space="preserve">       授粉品种</w:t>
      </w:r>
    </w:p>
    <w:p w14:paraId="38E5B124">
      <w:pPr>
        <w:widowControl/>
        <w:ind w:firstLine="404" w:firstLineChars="200"/>
        <w:rPr>
          <w:rFonts w:ascii="Times New Roman" w:hAnsi="Times New Roman" w:eastAsia="宋体" w:cs="宋体"/>
          <w:kern w:val="0"/>
          <w:szCs w:val="21"/>
        </w:rPr>
      </w:pPr>
      <w:r>
        <w:rPr>
          <w:rFonts w:hint="eastAsia" w:ascii="Times New Roman" w:hAnsi="Times New Roman" w:eastAsia="宋体" w:cs="宋体"/>
          <w:spacing w:val="-4"/>
          <w:kern w:val="0"/>
          <w:szCs w:val="21"/>
        </w:rPr>
        <w:t>红富士优系</w:t>
      </w:r>
      <w:r>
        <w:rPr>
          <w:rFonts w:hint="eastAsia" w:ascii="Times New Roman" w:hAnsi="Times New Roman" w:eastAsia="宋体" w:cs="宋体"/>
          <w:kern w:val="0"/>
          <w:szCs w:val="21"/>
        </w:rPr>
        <w:t xml:space="preserve">      嘎拉、秦冠、元帅系</w:t>
      </w:r>
    </w:p>
    <w:p w14:paraId="5EC9766A">
      <w:pPr>
        <w:widowControl/>
        <w:ind w:firstLine="404" w:firstLineChars="200"/>
        <w:rPr>
          <w:rFonts w:ascii="Times New Roman" w:hAnsi="Times New Roman" w:eastAsia="宋体" w:cs="宋体"/>
          <w:kern w:val="0"/>
          <w:szCs w:val="21"/>
        </w:rPr>
      </w:pPr>
      <w:r>
        <w:rPr>
          <w:rFonts w:hint="eastAsia" w:ascii="Times New Roman" w:hAnsi="Times New Roman" w:eastAsia="宋体" w:cs="宋体"/>
          <w:spacing w:val="-4"/>
          <w:kern w:val="0"/>
          <w:szCs w:val="21"/>
        </w:rPr>
        <w:t>嘎拉优系</w:t>
      </w:r>
      <w:r>
        <w:rPr>
          <w:rFonts w:hint="eastAsia" w:ascii="Times New Roman" w:hAnsi="Times New Roman" w:eastAsia="宋体" w:cs="宋体"/>
          <w:kern w:val="0"/>
          <w:szCs w:val="21"/>
        </w:rPr>
        <w:t xml:space="preserve">        秦阳、元帅系、玉华早富</w:t>
      </w:r>
    </w:p>
    <w:p w14:paraId="71D0989F">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配置比例：主栽品种与授粉品种配置实行差量成行配置或差量隔株配置。配置比例以4:1～5:1为宜。同一果园内栽植2～4个品种为宜。提倡采用专用授粉品种，授粉比例10%～15%。</w:t>
      </w:r>
    </w:p>
    <w:p w14:paraId="6A7BFCFA">
      <w:pPr>
        <w:widowControl/>
        <w:rPr>
          <w:rFonts w:hint="eastAsia" w:ascii="黑体" w:hAnsi="黑体" w:eastAsia="黑体" w:cs="宋体"/>
          <w:kern w:val="0"/>
          <w:szCs w:val="21"/>
        </w:rPr>
      </w:pPr>
      <w:r>
        <w:rPr>
          <w:rFonts w:hint="eastAsia" w:ascii="黑体" w:hAnsi="黑体" w:eastAsia="黑体" w:cs="宋体"/>
          <w:kern w:val="0"/>
          <w:szCs w:val="21"/>
        </w:rPr>
        <w:t>4.3 苗木</w:t>
      </w:r>
      <w:bookmarkEnd w:id="30"/>
    </w:p>
    <w:p w14:paraId="31A4EE58">
      <w:pPr>
        <w:widowControl/>
        <w:ind w:firstLine="420" w:firstLineChars="200"/>
        <w:rPr>
          <w:rFonts w:ascii="Times New Roman" w:hAnsi="Times New Roman" w:eastAsia="宋体" w:cs="宋体"/>
          <w:kern w:val="0"/>
          <w:szCs w:val="21"/>
        </w:rPr>
      </w:pPr>
      <w:bookmarkStart w:id="31" w:name="_Toc493812347"/>
      <w:r>
        <w:rPr>
          <w:rFonts w:hint="eastAsia" w:ascii="Times New Roman" w:hAnsi="Times New Roman" w:eastAsia="宋体" w:cs="宋体"/>
          <w:kern w:val="0"/>
          <w:szCs w:val="21"/>
        </w:rPr>
        <w:t>苗木选择应符合NY 329</w:t>
      </w:r>
      <w:r>
        <w:rPr>
          <w:rFonts w:hint="eastAsia" w:ascii="Times New Roman" w:hAnsi="宋体" w:eastAsia="宋体" w:cs="宋体"/>
          <w:kern w:val="0"/>
          <w:szCs w:val="21"/>
        </w:rPr>
        <w:t>的规定。</w:t>
      </w:r>
      <w:bookmarkEnd w:id="31"/>
      <w:bookmarkStart w:id="32" w:name="_Toc493812348"/>
      <w:r>
        <w:rPr>
          <w:rFonts w:hint="eastAsia" w:ascii="Times New Roman" w:hAnsi="宋体" w:eastAsia="宋体" w:cs="宋体"/>
          <w:kern w:val="0"/>
          <w:szCs w:val="21"/>
        </w:rPr>
        <w:t>建议栽植脱毒、无病苗木。</w:t>
      </w:r>
      <w:bookmarkEnd w:id="32"/>
    </w:p>
    <w:p w14:paraId="7A780E68">
      <w:pPr>
        <w:widowControl/>
        <w:rPr>
          <w:rFonts w:ascii="Times New Roman" w:hAnsi="Times New Roman" w:eastAsia="黑体" w:cs="宋体"/>
          <w:kern w:val="0"/>
          <w:szCs w:val="21"/>
        </w:rPr>
      </w:pPr>
      <w:bookmarkStart w:id="33" w:name="_Toc493812780"/>
      <w:bookmarkStart w:id="34" w:name="_Toc493812911"/>
      <w:bookmarkStart w:id="35" w:name="_Toc493812349"/>
    </w:p>
    <w:p w14:paraId="1F58728C">
      <w:pPr>
        <w:widowControl/>
        <w:rPr>
          <w:rFonts w:hint="eastAsia" w:ascii="黑体" w:hAnsi="黑体" w:eastAsia="黑体" w:cs="宋体"/>
          <w:kern w:val="0"/>
          <w:szCs w:val="21"/>
        </w:rPr>
      </w:pPr>
      <w:r>
        <w:rPr>
          <w:rFonts w:hint="eastAsia" w:ascii="黑体" w:hAnsi="黑体" w:eastAsia="黑体" w:cs="宋体"/>
          <w:kern w:val="0"/>
          <w:szCs w:val="21"/>
        </w:rPr>
        <w:t>5   整地与定植</w:t>
      </w:r>
      <w:bookmarkEnd w:id="33"/>
      <w:bookmarkEnd w:id="34"/>
      <w:bookmarkEnd w:id="35"/>
    </w:p>
    <w:p w14:paraId="6F7F71F7">
      <w:pPr>
        <w:widowControl/>
        <w:rPr>
          <w:rFonts w:ascii="Times New Roman" w:hAnsi="Times New Roman" w:eastAsia="黑体" w:cs="宋体"/>
          <w:kern w:val="0"/>
          <w:szCs w:val="21"/>
        </w:rPr>
      </w:pPr>
      <w:bookmarkStart w:id="36" w:name="_Toc493812912"/>
      <w:bookmarkStart w:id="37" w:name="_Toc493812355"/>
      <w:bookmarkStart w:id="38" w:name="_Toc493812781"/>
    </w:p>
    <w:p w14:paraId="1F2F30C4">
      <w:pPr>
        <w:widowControl/>
        <w:rPr>
          <w:rFonts w:hint="eastAsia" w:ascii="黑体" w:hAnsi="黑体" w:eastAsia="黑体" w:cs="宋体"/>
          <w:kern w:val="0"/>
          <w:szCs w:val="21"/>
        </w:rPr>
      </w:pPr>
      <w:r>
        <w:rPr>
          <w:rFonts w:hint="eastAsia" w:ascii="黑体" w:hAnsi="黑体" w:eastAsia="黑体" w:cs="宋体"/>
          <w:kern w:val="0"/>
          <w:szCs w:val="21"/>
        </w:rPr>
        <w:t>5.1</w:t>
      </w:r>
      <w:r>
        <w:rPr>
          <w:rFonts w:hint="eastAsia" w:ascii="黑体" w:hAnsi="黑体" w:eastAsia="黑体" w:cs="宋体"/>
          <w:kern w:val="0"/>
          <w:szCs w:val="21"/>
        </w:rPr>
        <w:tab/>
      </w:r>
      <w:r>
        <w:rPr>
          <w:rFonts w:hint="eastAsia" w:ascii="黑体" w:hAnsi="黑体" w:eastAsia="黑体" w:cs="宋体"/>
          <w:kern w:val="0"/>
          <w:szCs w:val="21"/>
        </w:rPr>
        <w:t>定植时间</w:t>
      </w:r>
    </w:p>
    <w:p w14:paraId="706E82C0">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以春季为宜，秋季栽植需培土防寒。</w:t>
      </w:r>
    </w:p>
    <w:p w14:paraId="5A9AFEC1">
      <w:pPr>
        <w:widowControl/>
        <w:rPr>
          <w:rFonts w:hint="eastAsia" w:ascii="黑体" w:hAnsi="黑体" w:eastAsia="黑体" w:cs="宋体"/>
          <w:kern w:val="0"/>
          <w:szCs w:val="21"/>
        </w:rPr>
      </w:pPr>
      <w:r>
        <w:rPr>
          <w:rFonts w:hint="eastAsia" w:ascii="黑体" w:hAnsi="黑体" w:eastAsia="黑体" w:cs="宋体"/>
          <w:kern w:val="0"/>
          <w:szCs w:val="21"/>
        </w:rPr>
        <w:t>5.2</w:t>
      </w:r>
      <w:r>
        <w:rPr>
          <w:rFonts w:hint="eastAsia" w:ascii="黑体" w:hAnsi="黑体" w:eastAsia="黑体" w:cs="宋体"/>
          <w:kern w:val="0"/>
          <w:szCs w:val="21"/>
        </w:rPr>
        <w:tab/>
      </w:r>
      <w:r>
        <w:rPr>
          <w:rFonts w:hint="eastAsia" w:ascii="黑体" w:hAnsi="黑体" w:eastAsia="黑体" w:cs="宋体"/>
          <w:kern w:val="0"/>
          <w:szCs w:val="21"/>
        </w:rPr>
        <w:t>栽植方式</w:t>
      </w:r>
    </w:p>
    <w:p w14:paraId="072C0776">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塬地、缓坡地为长方形栽植，以南北行向为宜；10°～15°的坡地实行等高线栽植。</w:t>
      </w:r>
    </w:p>
    <w:p w14:paraId="3F26E913">
      <w:pPr>
        <w:widowControl/>
        <w:rPr>
          <w:rFonts w:hint="eastAsia" w:ascii="黑体" w:hAnsi="黑体" w:eastAsia="黑体" w:cs="宋体"/>
          <w:kern w:val="0"/>
          <w:szCs w:val="21"/>
        </w:rPr>
      </w:pPr>
      <w:r>
        <w:rPr>
          <w:rFonts w:hint="eastAsia" w:ascii="黑体" w:hAnsi="黑体" w:eastAsia="黑体" w:cs="宋体"/>
          <w:kern w:val="0"/>
          <w:szCs w:val="21"/>
        </w:rPr>
        <w:t>5.3</w:t>
      </w:r>
      <w:r>
        <w:rPr>
          <w:rFonts w:hint="eastAsia" w:ascii="黑体" w:hAnsi="黑体" w:eastAsia="黑体" w:cs="宋体"/>
          <w:kern w:val="0"/>
          <w:szCs w:val="21"/>
        </w:rPr>
        <w:tab/>
      </w:r>
      <w:r>
        <w:rPr>
          <w:rFonts w:hint="eastAsia" w:ascii="黑体" w:hAnsi="黑体" w:eastAsia="黑体" w:cs="宋体"/>
          <w:kern w:val="0"/>
          <w:szCs w:val="21"/>
        </w:rPr>
        <w:t>栽植密度</w:t>
      </w:r>
    </w:p>
    <w:p w14:paraId="52C84203">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乔化栽植株行距3m～4m×5m～6</w:t>
      </w:r>
      <w:r>
        <w:rPr>
          <w:rFonts w:hint="eastAsia" w:ascii="Times New Roman" w:hAnsi="Times New Roman" w:eastAsia="宋体" w:cs="Times New Roman"/>
          <w:kern w:val="0"/>
          <w:szCs w:val="21"/>
        </w:rPr>
        <w:t>m</w:t>
      </w:r>
      <w:r>
        <w:rPr>
          <w:rFonts w:hint="eastAsia" w:ascii="Times New Roman" w:hAnsi="Times New Roman" w:eastAsia="宋体" w:cs="宋体"/>
          <w:kern w:val="0"/>
          <w:szCs w:val="21"/>
        </w:rPr>
        <w:t>；矮化栽植株行距1.5m～2.0m×3.5m～4.0m。地头留4ｍ宽作业道，便于机械化作业。</w:t>
      </w:r>
    </w:p>
    <w:p w14:paraId="67994B33">
      <w:pPr>
        <w:widowControl/>
        <w:rPr>
          <w:rFonts w:hint="eastAsia" w:ascii="黑体" w:hAnsi="黑体" w:eastAsia="黑体" w:cs="宋体"/>
          <w:kern w:val="0"/>
          <w:szCs w:val="21"/>
        </w:rPr>
      </w:pPr>
      <w:r>
        <w:rPr>
          <w:rFonts w:hint="eastAsia" w:ascii="黑体" w:hAnsi="黑体" w:eastAsia="黑体" w:cs="宋体"/>
          <w:kern w:val="0"/>
          <w:szCs w:val="21"/>
        </w:rPr>
        <w:t>5.4  挖定植坑（沟）</w:t>
      </w:r>
    </w:p>
    <w:p w14:paraId="7EE6C2C2">
      <w:pPr>
        <w:widowControl/>
        <w:rPr>
          <w:rFonts w:hint="eastAsia" w:ascii="黑体" w:hAnsi="黑体" w:eastAsia="黑体" w:cs="宋体"/>
          <w:kern w:val="0"/>
          <w:szCs w:val="21"/>
        </w:rPr>
      </w:pPr>
      <w:r>
        <w:rPr>
          <w:rFonts w:hint="eastAsia" w:ascii="黑体" w:hAnsi="黑体" w:eastAsia="黑体" w:cs="宋体"/>
          <w:kern w:val="0"/>
          <w:szCs w:val="21"/>
        </w:rPr>
        <w:t>5.4.1 尺寸</w:t>
      </w:r>
    </w:p>
    <w:p w14:paraId="75CA8782">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深翻后旋耕整平，放线定点，机械或人工开挖0.8m</w:t>
      </w:r>
      <w:r>
        <w:rPr>
          <w:rFonts w:hint="eastAsia" w:ascii="Times New Roman" w:hAnsi="Times New Roman" w:eastAsia="宋体" w:cs="宋体"/>
          <w:kern w:val="0"/>
          <w:szCs w:val="21"/>
          <w:vertAlign w:val="superscript"/>
        </w:rPr>
        <w:t>3</w:t>
      </w:r>
      <w:r>
        <w:rPr>
          <w:rFonts w:hint="eastAsia" w:ascii="Times New Roman" w:hAnsi="Times New Roman" w:eastAsia="宋体" w:cs="宋体"/>
          <w:kern w:val="0"/>
          <w:szCs w:val="21"/>
        </w:rPr>
        <w:t>～1.0m</w:t>
      </w:r>
      <w:r>
        <w:rPr>
          <w:rFonts w:hint="eastAsia" w:ascii="Times New Roman" w:hAnsi="Times New Roman" w:eastAsia="宋体" w:cs="宋体"/>
          <w:kern w:val="0"/>
          <w:szCs w:val="21"/>
          <w:vertAlign w:val="superscript"/>
        </w:rPr>
        <w:t>3</w:t>
      </w:r>
      <w:r>
        <w:rPr>
          <w:rFonts w:hint="eastAsia" w:ascii="Times New Roman" w:hAnsi="Times New Roman" w:eastAsia="宋体" w:cs="宋体"/>
          <w:kern w:val="0"/>
          <w:szCs w:val="21"/>
        </w:rPr>
        <w:t>的定植坑（或宽0.8m、深1.0m的定植沟）。</w:t>
      </w:r>
    </w:p>
    <w:p w14:paraId="75BD69F4">
      <w:pPr>
        <w:widowControl/>
        <w:rPr>
          <w:rFonts w:hint="eastAsia" w:ascii="黑体" w:hAnsi="黑体" w:eastAsia="黑体" w:cs="宋体"/>
          <w:kern w:val="0"/>
          <w:szCs w:val="21"/>
        </w:rPr>
      </w:pPr>
      <w:r>
        <w:rPr>
          <w:rFonts w:hint="eastAsia" w:ascii="黑体" w:hAnsi="黑体" w:eastAsia="黑体" w:cs="宋体"/>
          <w:kern w:val="0"/>
          <w:szCs w:val="21"/>
        </w:rPr>
        <w:t>5.4.2 时间</w:t>
      </w:r>
    </w:p>
    <w:p w14:paraId="7E96ACD9">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春栽坑（沟）在秋季土壤封冻前完成，秋栽坑（沟）在夏季（7～8月）完成。</w:t>
      </w:r>
    </w:p>
    <w:p w14:paraId="757200BB">
      <w:pPr>
        <w:widowControl/>
        <w:rPr>
          <w:rFonts w:hint="eastAsia" w:ascii="黑体" w:hAnsi="黑体" w:eastAsia="黑体" w:cs="宋体"/>
          <w:kern w:val="0"/>
          <w:szCs w:val="21"/>
        </w:rPr>
      </w:pPr>
      <w:r>
        <w:rPr>
          <w:rFonts w:hint="eastAsia" w:ascii="黑体" w:hAnsi="黑体" w:eastAsia="黑体" w:cs="宋体"/>
          <w:kern w:val="0"/>
          <w:szCs w:val="21"/>
        </w:rPr>
        <w:t>5.4.3 基肥</w:t>
      </w:r>
    </w:p>
    <w:p w14:paraId="31930889">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每亩施腐熟有机肥2000kg～3000kg，三元素复合肥15kg～30kg，肥料与土混匀，先表土后底土进行回填，春季栽植坑（沟）回填后应进行灌水。</w:t>
      </w:r>
    </w:p>
    <w:p w14:paraId="70BB3A52">
      <w:pPr>
        <w:widowControl/>
        <w:rPr>
          <w:rFonts w:hint="eastAsia" w:ascii="黑体" w:hAnsi="黑体" w:eastAsia="黑体" w:cs="Times New Roman"/>
          <w:kern w:val="0"/>
          <w:szCs w:val="21"/>
        </w:rPr>
      </w:pPr>
      <w:r>
        <w:rPr>
          <w:rFonts w:hint="eastAsia" w:ascii="黑体" w:hAnsi="黑体" w:eastAsia="黑体" w:cs="Times New Roman"/>
          <w:kern w:val="0"/>
          <w:szCs w:val="21"/>
        </w:rPr>
        <w:t xml:space="preserve">5.5 </w:t>
      </w:r>
      <w:r>
        <w:rPr>
          <w:rFonts w:hint="eastAsia" w:ascii="黑体" w:hAnsi="黑体" w:eastAsia="黑体" w:cs="宋体"/>
          <w:kern w:val="0"/>
          <w:szCs w:val="21"/>
        </w:rPr>
        <w:t>苗木处理</w:t>
      </w:r>
    </w:p>
    <w:p w14:paraId="59B951BA">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提倡选用无病毒苗木，质量达到NY 329一级苗标准。核实品种，挑选整理，剔除不合格残次苗木，修剪根系，分级栽植。异地苗木要注意保湿运输，并注意防止带入检疫性有害生物。苗木栽前在80%多菌灵可湿性粉剂50倍液、3%～5%的过磷酸钙水溶液中消毒、吸水12h～18h，泥浆蘸根后，随即栽植。</w:t>
      </w:r>
    </w:p>
    <w:p w14:paraId="358122D0">
      <w:pPr>
        <w:widowControl/>
        <w:rPr>
          <w:rFonts w:hint="eastAsia" w:ascii="黑体" w:hAnsi="黑体" w:eastAsia="黑体" w:cs="Times New Roman"/>
          <w:kern w:val="0"/>
          <w:szCs w:val="21"/>
        </w:rPr>
      </w:pPr>
      <w:r>
        <w:rPr>
          <w:rFonts w:hint="eastAsia" w:ascii="黑体" w:hAnsi="黑体" w:eastAsia="黑体" w:cs="Times New Roman"/>
          <w:kern w:val="0"/>
          <w:szCs w:val="21"/>
        </w:rPr>
        <w:t>5.6 开挖定植穴（坑）</w:t>
      </w:r>
    </w:p>
    <w:p w14:paraId="36216206">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定植时挖30cm</w:t>
      </w:r>
      <w:r>
        <w:rPr>
          <w:rFonts w:hint="eastAsia"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见方的定植穴（坑）。</w:t>
      </w:r>
    </w:p>
    <w:p w14:paraId="39BA5F90">
      <w:pPr>
        <w:widowControl/>
        <w:rPr>
          <w:rFonts w:hint="eastAsia" w:ascii="黑体" w:hAnsi="黑体" w:eastAsia="黑体" w:cs="Times New Roman"/>
          <w:kern w:val="0"/>
          <w:szCs w:val="21"/>
        </w:rPr>
      </w:pPr>
      <w:r>
        <w:rPr>
          <w:rFonts w:hint="eastAsia" w:ascii="黑体" w:hAnsi="黑体" w:eastAsia="黑体" w:cs="Times New Roman"/>
          <w:kern w:val="0"/>
          <w:szCs w:val="21"/>
        </w:rPr>
        <w:t>5.7 定植</w:t>
      </w:r>
    </w:p>
    <w:p w14:paraId="3DF0F9EB">
      <w:pPr>
        <w:widowControl/>
        <w:rPr>
          <w:rFonts w:hint="eastAsia" w:ascii="黑体" w:hAnsi="黑体" w:eastAsia="黑体" w:cs="Times New Roman"/>
          <w:kern w:val="0"/>
          <w:szCs w:val="21"/>
        </w:rPr>
      </w:pPr>
      <w:r>
        <w:rPr>
          <w:rFonts w:hint="eastAsia" w:ascii="黑体" w:hAnsi="黑体" w:eastAsia="黑体" w:cs="Times New Roman"/>
          <w:kern w:val="0"/>
          <w:szCs w:val="21"/>
        </w:rPr>
        <w:t>5.7.1 方法</w:t>
      </w:r>
    </w:p>
    <w:p w14:paraId="60B087B5">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定植时扶正苗木，纵横成行，边填土边提苗舒展根系并踏实。</w:t>
      </w:r>
    </w:p>
    <w:p w14:paraId="6F5314B3">
      <w:pPr>
        <w:widowControl/>
        <w:rPr>
          <w:rFonts w:hint="eastAsia" w:ascii="黑体" w:hAnsi="黑体" w:eastAsia="黑体" w:cs="Times New Roman"/>
          <w:kern w:val="0"/>
          <w:szCs w:val="21"/>
        </w:rPr>
      </w:pPr>
      <w:r>
        <w:rPr>
          <w:rFonts w:hint="eastAsia" w:ascii="黑体" w:hAnsi="黑体" w:eastAsia="黑体" w:cs="Times New Roman"/>
          <w:kern w:val="0"/>
          <w:szCs w:val="21"/>
        </w:rPr>
        <w:t>5.7.2 深度</w:t>
      </w:r>
    </w:p>
    <w:p w14:paraId="614E1115">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定植深度应以嫁接口露出地面5cm～8cm为宜，避免品种生根。</w:t>
      </w:r>
    </w:p>
    <w:p w14:paraId="0AF24ECA">
      <w:pPr>
        <w:widowControl/>
        <w:rPr>
          <w:rFonts w:hint="eastAsia" w:ascii="黑体" w:hAnsi="黑体" w:eastAsia="黑体" w:cs="Times New Roman"/>
          <w:kern w:val="0"/>
          <w:szCs w:val="21"/>
        </w:rPr>
      </w:pPr>
      <w:r>
        <w:rPr>
          <w:rFonts w:hint="eastAsia" w:ascii="黑体" w:hAnsi="黑体" w:eastAsia="黑体" w:cs="Times New Roman"/>
          <w:kern w:val="0"/>
          <w:szCs w:val="21"/>
        </w:rPr>
        <w:t>5.8 矮化砧苗要求</w:t>
      </w:r>
    </w:p>
    <w:p w14:paraId="0CC54E0A">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矮砧苗栽植应根据灌溉条件确定起垄与否。灌水条件差的果园，应在秋季或春季栽前进行起垄。方法是在预栽树行两侧各1m的土壤上撒施有机肥和化肥，然后沿预留树行外侧各0.5m把土翻至中间，形成宽度1m、高度5cm～10cm的缓坡土垄。灌水条件好的果园则不起垄，直接栽植。</w:t>
      </w:r>
    </w:p>
    <w:p w14:paraId="2E21900F">
      <w:pPr>
        <w:widowControl/>
        <w:rPr>
          <w:rFonts w:ascii="Times New Roman" w:hAnsi="Times New Roman" w:eastAsia="黑体" w:cs="Times New Roman"/>
          <w:kern w:val="0"/>
          <w:szCs w:val="21"/>
        </w:rPr>
      </w:pPr>
    </w:p>
    <w:p w14:paraId="084F8105">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 xml:space="preserve">6   </w:t>
      </w:r>
      <w:r>
        <w:rPr>
          <w:rFonts w:hint="eastAsia" w:ascii="Times New Roman" w:hAnsi="黑体" w:eastAsia="黑体" w:cs="Times New Roman"/>
          <w:kern w:val="0"/>
          <w:szCs w:val="21"/>
        </w:rPr>
        <w:t>田间管理</w:t>
      </w:r>
      <w:bookmarkEnd w:id="36"/>
      <w:bookmarkEnd w:id="37"/>
      <w:bookmarkEnd w:id="38"/>
    </w:p>
    <w:p w14:paraId="1A450C77">
      <w:pPr>
        <w:widowControl/>
        <w:rPr>
          <w:rFonts w:ascii="Times New Roman" w:hAnsi="Times New Roman" w:eastAsia="黑体" w:cs="Times New Roman"/>
          <w:kern w:val="0"/>
          <w:szCs w:val="21"/>
        </w:rPr>
      </w:pPr>
    </w:p>
    <w:p w14:paraId="6D1556CF">
      <w:pPr>
        <w:widowControl/>
        <w:rPr>
          <w:rFonts w:hint="eastAsia" w:ascii="黑体" w:hAnsi="黑体" w:eastAsia="黑体" w:cs="Times New Roman"/>
          <w:kern w:val="0"/>
          <w:szCs w:val="21"/>
        </w:rPr>
      </w:pPr>
      <w:r>
        <w:rPr>
          <w:rFonts w:hint="eastAsia" w:ascii="黑体" w:hAnsi="黑体" w:eastAsia="黑体" w:cs="Times New Roman"/>
          <w:kern w:val="0"/>
          <w:szCs w:val="21"/>
        </w:rPr>
        <w:t>6.1土壤管理</w:t>
      </w:r>
    </w:p>
    <w:p w14:paraId="66B033AA">
      <w:pPr>
        <w:widowControl/>
        <w:rPr>
          <w:rFonts w:hint="eastAsia" w:ascii="黑体" w:hAnsi="黑体" w:eastAsia="黑体" w:cs="Times New Roman"/>
          <w:kern w:val="0"/>
          <w:szCs w:val="21"/>
        </w:rPr>
      </w:pPr>
      <w:r>
        <w:rPr>
          <w:rFonts w:hint="eastAsia" w:ascii="黑体" w:hAnsi="黑体" w:eastAsia="黑体" w:cs="Times New Roman"/>
          <w:kern w:val="0"/>
          <w:szCs w:val="21"/>
        </w:rPr>
        <w:t>6.1.1 深翻改土</w:t>
      </w:r>
    </w:p>
    <w:p w14:paraId="10BAF354">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幼园在定植穴（沟）外挖深宽各60cm～80cm的环状沟或条状沟，挂果园（5年生后）分年逐次先株间、后行间在树冠外围挖深40cm～50cm、宽50cm～60cm的沟（穴），表土、底土分放，回填时先在沟底填充一定的有机物料，表土与肥料混均后覆盖于有机物料上，最后回填底土。</w:t>
      </w:r>
    </w:p>
    <w:p w14:paraId="6F158693">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6.1.2 增施有机肥</w:t>
      </w:r>
    </w:p>
    <w:p w14:paraId="27D8A3EC">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结合深翻改土，施入足量有机肥及其它有机物料，同时混合施入一定量的微生物肥料和矿物源微量元素肥料。</w:t>
      </w:r>
    </w:p>
    <w:p w14:paraId="3D156B94">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6.1.3 多元免耕覆盖</w:t>
      </w:r>
    </w:p>
    <w:p w14:paraId="79CCD43E">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6.1.3.1 绿肥覆盖</w:t>
      </w:r>
    </w:p>
    <w:p w14:paraId="41F759AA">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实施果园生草或豆菜轮茬（即春季播种黄豆4kg～5kg/亩，秋季刈割覆盖或翻压后再播种0.5kg/亩油菜籽），种植绿肥高度达30cm时及时刈割覆盖或翻压。禁止间作玉米等高杆作物。</w:t>
      </w:r>
    </w:p>
    <w:p w14:paraId="4937B46F">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6.1.3.2 生草覆盖</w:t>
      </w:r>
    </w:p>
    <w:p w14:paraId="7911F2D1">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采用免耕自然生草，杂草高度达20cm时应及时刈割、覆盖树盘。</w:t>
      </w:r>
    </w:p>
    <w:p w14:paraId="409D3CBA">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6.1.3.3 其它有机物覆盖</w:t>
      </w:r>
    </w:p>
    <w:p w14:paraId="6B2F8EB3">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将作物秸秆、苹果枝条、柠条、小冠花等有机物经粉碎后直接覆盖树盘（距主干20cm以外），厚度20cm，并适量压土。</w:t>
      </w:r>
    </w:p>
    <w:p w14:paraId="1A824EC8">
      <w:pPr>
        <w:widowControl/>
        <w:tabs>
          <w:tab w:val="center" w:pos="4201"/>
          <w:tab w:val="right" w:leader="dot" w:pos="9298"/>
        </w:tabs>
        <w:autoSpaceDE w:val="0"/>
        <w:autoSpaceDN w:val="0"/>
        <w:rPr>
          <w:rFonts w:hint="eastAsia" w:ascii="黑体" w:hAnsi="黑体" w:eastAsia="黑体" w:cs="Times New Roman"/>
          <w:kern w:val="0"/>
          <w:szCs w:val="21"/>
        </w:rPr>
      </w:pPr>
      <w:bookmarkStart w:id="39" w:name="_Toc493812356"/>
      <w:r>
        <w:rPr>
          <w:rFonts w:hint="eastAsia" w:ascii="黑体" w:hAnsi="黑体" w:eastAsia="黑体" w:cs="Times New Roman"/>
          <w:kern w:val="0"/>
          <w:szCs w:val="21"/>
        </w:rPr>
        <w:t>6.</w:t>
      </w:r>
      <w:bookmarkEnd w:id="39"/>
      <w:r>
        <w:rPr>
          <w:rFonts w:hint="eastAsia" w:ascii="黑体" w:hAnsi="黑体" w:eastAsia="黑体" w:cs="Times New Roman"/>
          <w:kern w:val="0"/>
          <w:szCs w:val="21"/>
        </w:rPr>
        <w:t>2 水分管理</w:t>
      </w:r>
    </w:p>
    <w:p w14:paraId="14151BE9">
      <w:pPr>
        <w:widowControl/>
        <w:ind w:firstLine="420" w:firstLineChars="200"/>
        <w:rPr>
          <w:rFonts w:ascii="Times New Roman" w:hAnsi="Times New Roman" w:eastAsia="宋体" w:cs="宋体"/>
          <w:kern w:val="0"/>
          <w:szCs w:val="21"/>
        </w:rPr>
      </w:pPr>
      <w:bookmarkStart w:id="40" w:name="_Toc493812359"/>
      <w:r>
        <w:rPr>
          <w:rFonts w:hint="eastAsia" w:ascii="Times New Roman" w:hAnsi="Times New Roman" w:eastAsia="宋体" w:cs="宋体"/>
          <w:kern w:val="0"/>
          <w:szCs w:val="21"/>
        </w:rPr>
        <w:t>果园水分管理以旱作蓄水保墒为主，提倡节水灌溉，严禁用工业废水、污水灌溉果园。灌溉水质应符合NY/T 391中灌溉水各项污染物的限值要求。</w:t>
      </w:r>
    </w:p>
    <w:p w14:paraId="08DC778A">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6.2.1 灌溉时间</w:t>
      </w:r>
    </w:p>
    <w:p w14:paraId="0CE29DF6">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根据苹果树需水规律，在萌芽期或花后幼果期、果实膨大期、采果后到封冻前，全年灌水2～3次。有节水灌溉条件的可适时适量灌溉。</w:t>
      </w:r>
    </w:p>
    <w:p w14:paraId="6CD29C03">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6.2.2 灌水量</w:t>
      </w:r>
    </w:p>
    <w:p w14:paraId="66B82163">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以田间最大持水量60%～80%作为灌溉指标，达到果树根际土壤全部湿润即可。提倡使用喷灌、滴灌。</w:t>
      </w:r>
    </w:p>
    <w:p w14:paraId="40E5CE5F">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6.2.3 方法</w:t>
      </w:r>
    </w:p>
    <w:p w14:paraId="4B2AF292">
      <w:pPr>
        <w:widowControl/>
        <w:tabs>
          <w:tab w:val="center" w:pos="4201"/>
          <w:tab w:val="right" w:leader="dot" w:pos="9298"/>
        </w:tabs>
        <w:autoSpaceDE w:val="0"/>
        <w:autoSpaceDN w:val="0"/>
        <w:rPr>
          <w:rFonts w:hint="eastAsia" w:ascii="黑体" w:hAnsi="黑体" w:eastAsia="黑体" w:cs="宋体"/>
          <w:kern w:val="0"/>
        </w:rPr>
      </w:pPr>
      <w:r>
        <w:rPr>
          <w:rFonts w:hint="eastAsia" w:ascii="黑体" w:hAnsi="黑体" w:eastAsia="黑体" w:cs="Times New Roman"/>
          <w:kern w:val="0"/>
          <w:szCs w:val="21"/>
        </w:rPr>
        <w:t>6.2.3.1 集雨蓄水</w:t>
      </w:r>
    </w:p>
    <w:p w14:paraId="49A89FA2">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每3亩～5亩修建一口8m</w:t>
      </w:r>
      <w:r>
        <w:rPr>
          <w:rFonts w:hint="eastAsia" w:ascii="Times New Roman" w:hAnsi="Times New Roman" w:eastAsia="宋体" w:cs="宋体"/>
          <w:kern w:val="0"/>
          <w:szCs w:val="21"/>
          <w:vertAlign w:val="superscript"/>
        </w:rPr>
        <w:t>3</w:t>
      </w:r>
      <w:r>
        <w:rPr>
          <w:rFonts w:hint="eastAsia" w:ascii="Times New Roman" w:hAnsi="Times New Roman" w:eastAsia="宋体" w:cs="宋体"/>
          <w:kern w:val="0"/>
          <w:szCs w:val="21"/>
        </w:rPr>
        <w:t>的集雨窖，集雨场不小于18m</w:t>
      </w:r>
      <w:r>
        <w:rPr>
          <w:rFonts w:hint="eastAsia" w:ascii="Times New Roman" w:hAnsi="Times New Roman" w:eastAsia="宋体" w:cs="宋体"/>
          <w:kern w:val="0"/>
          <w:szCs w:val="21"/>
          <w:vertAlign w:val="superscript"/>
        </w:rPr>
        <w:t>2</w:t>
      </w:r>
      <w:r>
        <w:rPr>
          <w:rFonts w:hint="eastAsia" w:ascii="Times New Roman" w:hAnsi="Times New Roman" w:eastAsia="宋体" w:cs="宋体"/>
          <w:kern w:val="0"/>
          <w:szCs w:val="21"/>
        </w:rPr>
        <w:t>，蓄积自然降水。</w:t>
      </w:r>
    </w:p>
    <w:p w14:paraId="6500E676">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6.2.3.2 穴贮肥水</w:t>
      </w:r>
    </w:p>
    <w:p w14:paraId="6E962A2F">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在树冠垂直投影偏内位置打孔、挖穴，幼树4～6个，初果树6～8个，盛果树8～12个，直径20cm～30cm、深35cm～50cm的圆柱形穴。用四周带小孔的110PVC管竖立于穴中央，穴里埋入枯枝落叶，施入与土混均匀的腐熟农家肥或化肥，填实，地表整成凹形，覆盖农膜，中间开2cm大小的十字小孔，管口用小地漏盖口，以便收集雨水或补肥补水。</w:t>
      </w:r>
    </w:p>
    <w:p w14:paraId="11DD4DCE">
      <w:pPr>
        <w:widowControl/>
        <w:tabs>
          <w:tab w:val="center" w:pos="4201"/>
          <w:tab w:val="right" w:leader="dot" w:pos="9298"/>
        </w:tabs>
        <w:autoSpaceDE w:val="0"/>
        <w:autoSpaceDN w:val="0"/>
        <w:rPr>
          <w:rFonts w:hint="eastAsia" w:ascii="黑体" w:hAnsi="黑体" w:eastAsia="黑体" w:cs="宋体"/>
          <w:kern w:val="0"/>
        </w:rPr>
      </w:pPr>
      <w:r>
        <w:rPr>
          <w:rFonts w:hint="eastAsia" w:ascii="黑体" w:hAnsi="黑体" w:eastAsia="黑体" w:cs="Times New Roman"/>
          <w:kern w:val="0"/>
          <w:szCs w:val="21"/>
        </w:rPr>
        <w:t>6.2.3.3 微灌</w:t>
      </w:r>
    </w:p>
    <w:p w14:paraId="71FE8DB5">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有条件的果园可安装微喷、滴灌设施。采用水肥一体化施肥方法：先将所需施肥量按1：10配成肥液，再将肥液注入滴灌系统，适宜浓度为灌溉流量的0.1%。</w:t>
      </w:r>
    </w:p>
    <w:p w14:paraId="4D8F4998">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6.2.4 覆盖保水</w:t>
      </w:r>
    </w:p>
    <w:p w14:paraId="0D073B57">
      <w:pPr>
        <w:widowControl/>
        <w:tabs>
          <w:tab w:val="center" w:pos="4201"/>
          <w:tab w:val="right" w:leader="dot" w:pos="9298"/>
        </w:tabs>
        <w:autoSpaceDE w:val="0"/>
        <w:autoSpaceDN w:val="0"/>
        <w:rPr>
          <w:rFonts w:hint="eastAsia" w:ascii="黑体" w:hAnsi="黑体" w:eastAsia="黑体" w:cs="宋体"/>
          <w:kern w:val="0"/>
        </w:rPr>
      </w:pPr>
      <w:r>
        <w:rPr>
          <w:rFonts w:hint="eastAsia" w:ascii="黑体" w:hAnsi="黑体" w:eastAsia="黑体" w:cs="Times New Roman"/>
          <w:kern w:val="0"/>
          <w:szCs w:val="21"/>
        </w:rPr>
        <w:t>6.2.4.1 地膜覆盖</w:t>
      </w:r>
    </w:p>
    <w:p w14:paraId="697C3A64">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早春或冬前覆盖黑色地膜。幼树将树盘整成V形面，内低外高，落差5cm左右，进行通行覆膜。成龄树整成内高外低，利于水分集中在树冠边缘。</w:t>
      </w:r>
    </w:p>
    <w:p w14:paraId="5DD8FA99">
      <w:pPr>
        <w:widowControl/>
        <w:tabs>
          <w:tab w:val="center" w:pos="4201"/>
          <w:tab w:val="right" w:leader="dot" w:pos="9298"/>
        </w:tabs>
        <w:autoSpaceDE w:val="0"/>
        <w:autoSpaceDN w:val="0"/>
        <w:rPr>
          <w:rFonts w:hint="eastAsia" w:ascii="黑体" w:hAnsi="黑体" w:eastAsia="黑体" w:cs="宋体"/>
          <w:kern w:val="0"/>
        </w:rPr>
      </w:pPr>
      <w:r>
        <w:rPr>
          <w:rFonts w:hint="eastAsia" w:ascii="黑体" w:hAnsi="黑体" w:eastAsia="黑体" w:cs="Times New Roman"/>
          <w:kern w:val="0"/>
          <w:szCs w:val="21"/>
        </w:rPr>
        <w:t>6.2.4.2 秸秆、杂草覆盖</w:t>
      </w:r>
    </w:p>
    <w:p w14:paraId="6812AB7A">
      <w:pPr>
        <w:widowControl/>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覆盖厚度15cm～20cm，并在其上撒施适量氮肥，后撒盖少量土，防止风吹走。</w:t>
      </w:r>
    </w:p>
    <w:p w14:paraId="2F4956BD">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6.3 施肥</w:t>
      </w:r>
      <w:bookmarkEnd w:id="40"/>
      <w:r>
        <w:rPr>
          <w:rFonts w:hint="eastAsia" w:ascii="黑体" w:hAnsi="黑体" w:eastAsia="黑体" w:cs="Times New Roman"/>
          <w:kern w:val="0"/>
          <w:szCs w:val="21"/>
        </w:rPr>
        <w:t>管理</w:t>
      </w:r>
    </w:p>
    <w:p w14:paraId="2B916E52">
      <w:pPr>
        <w:widowControl/>
        <w:tabs>
          <w:tab w:val="center" w:pos="4201"/>
          <w:tab w:val="right" w:leader="dot" w:pos="9298"/>
        </w:tabs>
        <w:autoSpaceDE w:val="0"/>
        <w:autoSpaceDN w:val="0"/>
        <w:rPr>
          <w:rFonts w:hint="eastAsia" w:ascii="黑体" w:hAnsi="黑体" w:eastAsia="黑体" w:cs="Times New Roman"/>
          <w:kern w:val="0"/>
          <w:szCs w:val="21"/>
        </w:rPr>
      </w:pPr>
      <w:bookmarkStart w:id="41" w:name="_Toc493812360"/>
      <w:r>
        <w:rPr>
          <w:rFonts w:hint="eastAsia" w:ascii="黑体" w:hAnsi="黑体" w:eastAsia="黑体" w:cs="Times New Roman"/>
          <w:kern w:val="0"/>
          <w:szCs w:val="21"/>
        </w:rPr>
        <w:t>6.3.1 肥料选择与使用</w:t>
      </w:r>
      <w:bookmarkEnd w:id="41"/>
    </w:p>
    <w:p w14:paraId="05421B95">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肥料选择使用应符合NY/T 394的规定。</w:t>
      </w:r>
    </w:p>
    <w:p w14:paraId="5428C3CC">
      <w:pPr>
        <w:widowControl/>
        <w:tabs>
          <w:tab w:val="center" w:pos="4201"/>
          <w:tab w:val="right" w:leader="dot" w:pos="9298"/>
        </w:tabs>
        <w:autoSpaceDE w:val="0"/>
        <w:autoSpaceDN w:val="0"/>
        <w:rPr>
          <w:rFonts w:hint="eastAsia" w:ascii="黑体" w:hAnsi="黑体" w:eastAsia="黑体" w:cs="Times New Roman"/>
          <w:kern w:val="0"/>
          <w:szCs w:val="21"/>
        </w:rPr>
      </w:pPr>
      <w:bookmarkStart w:id="42" w:name="_Toc493812361"/>
      <w:r>
        <w:rPr>
          <w:rFonts w:hint="eastAsia" w:ascii="黑体" w:hAnsi="黑体" w:eastAsia="黑体" w:cs="Times New Roman"/>
          <w:kern w:val="0"/>
          <w:szCs w:val="21"/>
        </w:rPr>
        <w:t>6.3.2 时期</w:t>
      </w:r>
    </w:p>
    <w:p w14:paraId="3AEC4A71">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每年按照春季萌芽前施肥、春梢停长前追肥和采果后施基肥三个时期进行。</w:t>
      </w:r>
    </w:p>
    <w:p w14:paraId="15F0A905">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6.3.3方法</w:t>
      </w:r>
    </w:p>
    <w:bookmarkEnd w:id="42"/>
    <w:p w14:paraId="4C90E1BC">
      <w:pPr>
        <w:widowControl/>
        <w:tabs>
          <w:tab w:val="center" w:pos="4201"/>
          <w:tab w:val="right" w:leader="dot" w:pos="9298"/>
        </w:tabs>
        <w:autoSpaceDE w:val="0"/>
        <w:autoSpaceDN w:val="0"/>
        <w:rPr>
          <w:rFonts w:hint="eastAsia" w:ascii="黑体" w:hAnsi="黑体" w:eastAsia="黑体" w:cs="Times New Roman"/>
          <w:kern w:val="0"/>
          <w:szCs w:val="21"/>
        </w:rPr>
      </w:pPr>
      <w:bookmarkStart w:id="43" w:name="_Toc493812364"/>
      <w:r>
        <w:rPr>
          <w:rFonts w:hint="eastAsia" w:ascii="黑体" w:hAnsi="黑体" w:eastAsia="黑体" w:cs="Times New Roman"/>
          <w:kern w:val="0"/>
          <w:szCs w:val="21"/>
        </w:rPr>
        <w:t>6.3.3.1 追肥方法</w:t>
      </w:r>
    </w:p>
    <w:p w14:paraId="6D30B69F">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采用环状、放射状沟施穴施或追肥枪施、叶面喷施等，有条件的果园采用水肥一体化施肥技术。</w:t>
      </w:r>
    </w:p>
    <w:p w14:paraId="00DADCFD">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6.3.3.2 施基肥方法</w:t>
      </w:r>
    </w:p>
    <w:p w14:paraId="675C86B0">
      <w:pPr>
        <w:widowControl/>
        <w:tabs>
          <w:tab w:val="center" w:pos="4201"/>
          <w:tab w:val="right" w:leader="dot" w:pos="9298"/>
        </w:tabs>
        <w:autoSpaceDE w:val="0"/>
        <w:autoSpaceDN w:val="0"/>
        <w:ind w:firstLine="420" w:firstLineChars="200"/>
        <w:rPr>
          <w:rFonts w:ascii="Times New Roman" w:hAnsi="Times New Roman" w:eastAsia="黑体" w:cs="Times New Roman"/>
          <w:kern w:val="0"/>
          <w:szCs w:val="21"/>
        </w:rPr>
      </w:pPr>
      <w:r>
        <w:rPr>
          <w:rFonts w:hint="eastAsia" w:ascii="Times New Roman" w:hAnsi="Times New Roman" w:eastAsia="宋体" w:cs="宋体"/>
          <w:kern w:val="0"/>
          <w:szCs w:val="21"/>
        </w:rPr>
        <w:t>基肥宜采取放射状或条状沟施，也可撒施。</w:t>
      </w:r>
    </w:p>
    <w:p w14:paraId="63A7F14B">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6.3.4 施肥量</w:t>
      </w:r>
    </w:p>
    <w:p w14:paraId="3CE0AA01">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6.3.4.1 幼树</w:t>
      </w:r>
    </w:p>
    <w:p w14:paraId="11E6C773">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按每龄每株施入N、P</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w:t>
      </w:r>
      <w:r>
        <w:rPr>
          <w:rFonts w:hint="eastAsia" w:ascii="Times New Roman" w:hAnsi="Times New Roman" w:eastAsia="宋体" w:cs="宋体"/>
          <w:kern w:val="0"/>
          <w:szCs w:val="21"/>
          <w:vertAlign w:val="subscript"/>
        </w:rPr>
        <w:t>5</w:t>
      </w:r>
      <w:r>
        <w:rPr>
          <w:rFonts w:hint="eastAsia" w:ascii="Times New Roman" w:hAnsi="Times New Roman" w:eastAsia="宋体" w:cs="宋体"/>
          <w:kern w:val="0"/>
          <w:szCs w:val="21"/>
        </w:rPr>
        <w:t>各0.05kg计算，按纯养分量折算成化肥实物量施用；农家肥15kg～20kg/株。</w:t>
      </w:r>
    </w:p>
    <w:p w14:paraId="5D7E4D82">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6.3.4.2 初果树</w:t>
      </w:r>
    </w:p>
    <w:p w14:paraId="5170600C">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每株施腐熟农家肥25kg～50kg ，N0.28kg，春季追施N0.09kg，K</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O0.7kg。</w:t>
      </w:r>
    </w:p>
    <w:p w14:paraId="5F2194CF">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6.3.4.3 盛果树</w:t>
      </w:r>
    </w:p>
    <w:p w14:paraId="2656AAFC">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依据产量而定，亩产2000kg～2500kg的果园，有机肥施用量应达到斤果斤肥的水平，并分别施入N、P</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w:t>
      </w:r>
      <w:r>
        <w:rPr>
          <w:rFonts w:hint="eastAsia" w:ascii="Times New Roman" w:hAnsi="Times New Roman" w:eastAsia="宋体" w:cs="宋体"/>
          <w:kern w:val="0"/>
          <w:szCs w:val="21"/>
          <w:vertAlign w:val="subscript"/>
        </w:rPr>
        <w:t>5</w:t>
      </w:r>
      <w:r>
        <w:rPr>
          <w:rFonts w:hint="eastAsia" w:ascii="Times New Roman" w:hAnsi="Times New Roman" w:eastAsia="宋体" w:cs="宋体"/>
          <w:kern w:val="0"/>
          <w:szCs w:val="21"/>
        </w:rPr>
        <w:t>、K</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O各20kg～25kg/亩、20kg/亩、20kg～30kg/亩；亩产2500kg～3000kg的丰产园，有机肥施用量达到斤果1.5斤肥的水平，分别施入N、P</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w:t>
      </w:r>
      <w:r>
        <w:rPr>
          <w:rFonts w:hint="eastAsia" w:ascii="Times New Roman" w:hAnsi="Times New Roman" w:eastAsia="宋体" w:cs="宋体"/>
          <w:kern w:val="0"/>
          <w:szCs w:val="21"/>
          <w:vertAlign w:val="subscript"/>
        </w:rPr>
        <w:t>5</w:t>
      </w:r>
      <w:r>
        <w:rPr>
          <w:rFonts w:hint="eastAsia" w:ascii="Times New Roman" w:hAnsi="Times New Roman" w:eastAsia="宋体" w:cs="宋体"/>
          <w:kern w:val="0"/>
          <w:szCs w:val="21"/>
        </w:rPr>
        <w:t>、K</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O各30kg～35kg/亩、30kg/亩、30kg～40kg/亩。</w:t>
      </w:r>
    </w:p>
    <w:p w14:paraId="65EA3A98">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6.3.5 施肥技术</w:t>
      </w:r>
    </w:p>
    <w:p w14:paraId="65D6CA22">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6.3.5.1 春季追肥</w:t>
      </w:r>
    </w:p>
    <w:p w14:paraId="7C157049">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3月中旬土壤解冻后进行。幼园按照每龄每株施入N、P</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w:t>
      </w:r>
      <w:r>
        <w:rPr>
          <w:rFonts w:hint="eastAsia" w:ascii="Times New Roman" w:hAnsi="Times New Roman" w:eastAsia="宋体" w:cs="宋体"/>
          <w:kern w:val="0"/>
          <w:szCs w:val="21"/>
          <w:vertAlign w:val="subscript"/>
        </w:rPr>
        <w:t>5</w:t>
      </w:r>
      <w:r>
        <w:rPr>
          <w:rFonts w:hint="eastAsia" w:ascii="Times New Roman" w:hAnsi="Times New Roman" w:eastAsia="宋体" w:cs="宋体"/>
          <w:kern w:val="0"/>
          <w:szCs w:val="21"/>
        </w:rPr>
        <w:t>各20g～30g，按此纯量进行折算施入化肥，每株灌水25kg～50kg。盛果期果园按照N、P</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w:t>
      </w:r>
      <w:r>
        <w:rPr>
          <w:rFonts w:hint="eastAsia" w:ascii="Times New Roman" w:hAnsi="Times New Roman" w:eastAsia="宋体" w:cs="宋体"/>
          <w:kern w:val="0"/>
          <w:szCs w:val="21"/>
          <w:vertAlign w:val="subscript"/>
        </w:rPr>
        <w:t>5</w:t>
      </w:r>
      <w:r>
        <w:rPr>
          <w:rFonts w:hint="eastAsia" w:ascii="Times New Roman" w:hAnsi="Times New Roman" w:eastAsia="宋体" w:cs="宋体"/>
          <w:kern w:val="0"/>
          <w:szCs w:val="21"/>
        </w:rPr>
        <w:t>、K</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O比例施入全年肥量的20%～30%，同时配合施入微量元素及微生物肥，追肥后每株灌水50kg～100kg。</w:t>
      </w:r>
    </w:p>
    <w:p w14:paraId="5D819CF9">
      <w:pPr>
        <w:widowControl/>
        <w:tabs>
          <w:tab w:val="center" w:pos="4201"/>
          <w:tab w:val="right" w:leader="dot" w:pos="9298"/>
        </w:tabs>
        <w:autoSpaceDE w:val="0"/>
        <w:autoSpaceDN w:val="0"/>
        <w:rPr>
          <w:rFonts w:hint="eastAsia" w:ascii="黑体" w:hAnsi="黑体" w:eastAsia="黑体" w:cs="宋体"/>
          <w:kern w:val="0"/>
        </w:rPr>
      </w:pPr>
      <w:r>
        <w:rPr>
          <w:rFonts w:hint="eastAsia" w:ascii="黑体" w:hAnsi="黑体" w:eastAsia="黑体" w:cs="Times New Roman"/>
          <w:kern w:val="0"/>
          <w:szCs w:val="21"/>
        </w:rPr>
        <w:t>6.3.5.2 夏季追肥</w:t>
      </w:r>
    </w:p>
    <w:p w14:paraId="506FF16B">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在6月中下旬进行。幼园按照每龄每株施入N、P</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w:t>
      </w:r>
      <w:r>
        <w:rPr>
          <w:rFonts w:hint="eastAsia" w:ascii="Times New Roman" w:hAnsi="Times New Roman" w:eastAsia="宋体" w:cs="宋体"/>
          <w:kern w:val="0"/>
          <w:szCs w:val="21"/>
          <w:vertAlign w:val="subscript"/>
        </w:rPr>
        <w:t>5</w:t>
      </w:r>
      <w:r>
        <w:rPr>
          <w:rFonts w:hint="eastAsia" w:ascii="Times New Roman" w:hAnsi="Times New Roman" w:eastAsia="宋体" w:cs="宋体"/>
          <w:kern w:val="0"/>
          <w:szCs w:val="21"/>
        </w:rPr>
        <w:t>各20g～30g。盛果期果园按照N、P</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w:t>
      </w:r>
      <w:r>
        <w:rPr>
          <w:rFonts w:hint="eastAsia" w:ascii="Times New Roman" w:hAnsi="Times New Roman" w:eastAsia="宋体" w:cs="宋体"/>
          <w:kern w:val="0"/>
          <w:szCs w:val="21"/>
          <w:vertAlign w:val="subscript"/>
        </w:rPr>
        <w:t>5</w:t>
      </w:r>
      <w:r>
        <w:rPr>
          <w:rFonts w:hint="eastAsia" w:ascii="Times New Roman" w:hAnsi="Times New Roman" w:eastAsia="宋体" w:cs="宋体"/>
          <w:kern w:val="0"/>
          <w:szCs w:val="21"/>
        </w:rPr>
        <w:t>、K</w:t>
      </w:r>
      <w:r>
        <w:rPr>
          <w:rFonts w:hint="eastAsia" w:ascii="Times New Roman" w:hAnsi="Times New Roman" w:eastAsia="宋体" w:cs="宋体"/>
          <w:kern w:val="0"/>
          <w:szCs w:val="21"/>
          <w:vertAlign w:val="subscript"/>
        </w:rPr>
        <w:t>2</w:t>
      </w:r>
      <w:r>
        <w:rPr>
          <w:rFonts w:hint="eastAsia" w:ascii="Times New Roman" w:hAnsi="Times New Roman" w:eastAsia="宋体" w:cs="宋体"/>
          <w:kern w:val="0"/>
          <w:szCs w:val="21"/>
        </w:rPr>
        <w:t>O比例施入全年肥量的15%，同时配合施入微量元素及微生物肥。追肥后根据土壤墒情适时灌溉。</w:t>
      </w:r>
    </w:p>
    <w:p w14:paraId="718D8476">
      <w:pPr>
        <w:widowControl/>
        <w:tabs>
          <w:tab w:val="center" w:pos="4201"/>
          <w:tab w:val="right" w:leader="dot" w:pos="9298"/>
        </w:tabs>
        <w:autoSpaceDE w:val="0"/>
        <w:autoSpaceDN w:val="0"/>
        <w:rPr>
          <w:rFonts w:hint="eastAsia" w:ascii="黑体" w:hAnsi="黑体" w:eastAsia="黑体" w:cs="宋体"/>
          <w:kern w:val="0"/>
        </w:rPr>
      </w:pPr>
      <w:r>
        <w:rPr>
          <w:rFonts w:hint="eastAsia" w:ascii="黑体" w:hAnsi="黑体" w:eastAsia="黑体" w:cs="Times New Roman"/>
          <w:kern w:val="0"/>
          <w:szCs w:val="21"/>
        </w:rPr>
        <w:t>6.3.5.3 秋施基肥</w:t>
      </w:r>
    </w:p>
    <w:p w14:paraId="5D1FA6F7">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在采果后落叶前进行，越早越好。以农家肥为主，依据产量施入全年所需的有机肥，配施全年所需55%～65%的化肥。</w:t>
      </w:r>
    </w:p>
    <w:p w14:paraId="22553490">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 花果管理</w:t>
      </w:r>
      <w:bookmarkEnd w:id="43"/>
    </w:p>
    <w:p w14:paraId="39CE4231">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6.4.1 花前复剪</w:t>
      </w:r>
    </w:p>
    <w:p w14:paraId="38CE2F63">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萌芽后进行复剪，主要疏除过多的花枝、细弱花枝、腋花芽，同时剪除冬剪遗漏的病虫枝、干枯枝、细弱枝、锥形枝和弱果台枝等。</w:t>
      </w:r>
    </w:p>
    <w:p w14:paraId="58FCBDC8">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6.4.2 高接授粉枝</w:t>
      </w:r>
    </w:p>
    <w:p w14:paraId="7309932B">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萌芽后，对授粉树配置不足的果园，按照要求合理选择单枝（主枝）嫁接授粉品种。</w:t>
      </w:r>
    </w:p>
    <w:p w14:paraId="515FDFF1">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6.4.3 保花保果</w:t>
      </w:r>
    </w:p>
    <w:p w14:paraId="661EFC30">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6.4.3.1 花期防冻</w:t>
      </w:r>
    </w:p>
    <w:p w14:paraId="4DBD9CE5">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实行适地适栽、选择适宜园址、延迟发芽、低温来临前树冠喷水、果园熏烟、吹风对流、喷防冻剂及采取喷营养液等措施。花期受冻后，在花托未受害的情况下，人工辅助授粉、利用边花、腋花芽结果、延迟疏花疏果、加强土肥水管理、及时防控病虫害，尽量减少因病虫害造成的进一步损失。</w:t>
      </w:r>
    </w:p>
    <w:p w14:paraId="7E38E6C3">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6.4.3.2 花期放蜂</w:t>
      </w:r>
    </w:p>
    <w:p w14:paraId="67F9C46B">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蜜蜂每4亩～6亩放置一箱，箱间距300m～500m左右；壁蜂每亩投放60头～150头。放蜂果园应避免花期喷布农药。</w:t>
      </w:r>
    </w:p>
    <w:p w14:paraId="73F12731">
      <w:pPr>
        <w:widowControl/>
        <w:tabs>
          <w:tab w:val="center" w:pos="4201"/>
          <w:tab w:val="right" w:leader="dot" w:pos="9298"/>
        </w:tabs>
        <w:autoSpaceDE w:val="0"/>
        <w:autoSpaceDN w:val="0"/>
        <w:rPr>
          <w:rFonts w:hint="eastAsia" w:ascii="黑体" w:hAnsi="黑体" w:eastAsia="黑体" w:cs="宋体"/>
          <w:kern w:val="0"/>
        </w:rPr>
      </w:pPr>
      <w:r>
        <w:rPr>
          <w:rFonts w:hint="eastAsia" w:ascii="黑体" w:hAnsi="黑体" w:eastAsia="黑体" w:cs="Times New Roman"/>
          <w:kern w:val="0"/>
          <w:szCs w:val="21"/>
        </w:rPr>
        <w:t>6.4.3.3 人工授粉</w:t>
      </w:r>
    </w:p>
    <w:p w14:paraId="05797957">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人工采集秦冠、新红星、嘎啦等与红富士亲和力好的品种铃铛花阴干，收集花粉，当中心花开放30%，按以下方式开始进行人工授粉。</w:t>
      </w:r>
    </w:p>
    <w:p w14:paraId="2030BFDF">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喷粉：按照1:10～1:50的比例加入滑石粉或淀粉，用喷粉机进行喷粉。喷粉应在上午或下午无风的情况下进行。</w:t>
      </w:r>
    </w:p>
    <w:p w14:paraId="093D8982">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喷雾：用10kg水、0.5kg白沙糖、0.3%的硼砂及20g～30g花粉配成悬浮液，用超低量喷雾器进行喷雾。</w:t>
      </w:r>
    </w:p>
    <w:p w14:paraId="18D0FC3F">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人工点授：按照1:1的比例加入滑石粉，用铅笔的橡皮头或毛笔轻蘸花粉并点授在正开放花的柱头上，使花粉均匀的粘在柱头即可。一个花序授一个中心花和一个边花。</w:t>
      </w:r>
    </w:p>
    <w:p w14:paraId="2469C352">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6.4.3.4 花期喷肥</w:t>
      </w:r>
    </w:p>
    <w:p w14:paraId="0876F0BE">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花期喷施1～2次0.3%硼酸+0.3%～0.5%的蔗糖混合液。</w:t>
      </w:r>
    </w:p>
    <w:p w14:paraId="55FE553B">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6.4.4 疏花疏果</w:t>
      </w:r>
    </w:p>
    <w:p w14:paraId="191898B8">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6.4.4.1 疏花</w:t>
      </w:r>
    </w:p>
    <w:p w14:paraId="5FA78DFA">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花序分离期疏除过密、质量较差的花序；疏除永久性主枝延长头梢部50cm以内的花序；疏除腋花芽花序；盛花期每花序选留中心花和一个健壮的边花。</w:t>
      </w:r>
    </w:p>
    <w:p w14:paraId="39FEA66F">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6.4.4.2 疏果定果</w:t>
      </w:r>
    </w:p>
    <w:p w14:paraId="7943B867">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疏果定果：每个花序只留中心果，中心果发育不良的选留一个发育良好的边果。优先选留果个大、果形正、果柄粗壮、无病虫、无外伤、果台副梢生长良好的果。</w:t>
      </w:r>
    </w:p>
    <w:p w14:paraId="36063D95">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乔砧普通型品种留果量：大型果按20cm～25cm、中小型果15cm～25cm留一个果的标准进行，大型果亩留果量1万个～1.2万个，中小型果1.2万个～1.5万个。叶果比大型果按40:1～50:1留果，中小型果按30:1～40:1留果。</w:t>
      </w:r>
    </w:p>
    <w:p w14:paraId="287541D7">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乔砧短枝型、矮砧品种留果量：大型果按20cm～25cm、中小型果15cm～20cm留一个果的标准进行，大型果亩留果量1万个～1.2万个，中小型果1.2万个～1.5万个。叶果比大型果按30:1～50:1留果，中小型果按20:1～40:1留果。</w:t>
      </w:r>
    </w:p>
    <w:p w14:paraId="356B9E3D">
      <w:pPr>
        <w:widowControl/>
        <w:tabs>
          <w:tab w:val="center" w:pos="4201"/>
          <w:tab w:val="right" w:leader="dot" w:pos="9298"/>
        </w:tabs>
        <w:autoSpaceDE w:val="0"/>
        <w:autoSpaceDN w:val="0"/>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4</w:t>
      </w:r>
      <w:r>
        <w:rPr>
          <w:rFonts w:ascii="黑体" w:hAnsi="黑体" w:eastAsia="黑体" w:cs="Times New Roman"/>
          <w:kern w:val="0"/>
          <w:szCs w:val="21"/>
        </w:rPr>
        <w:t>.</w:t>
      </w:r>
      <w:r>
        <w:rPr>
          <w:rFonts w:hint="eastAsia" w:ascii="黑体" w:hAnsi="黑体" w:eastAsia="黑体" w:cs="Times New Roman"/>
          <w:kern w:val="0"/>
          <w:szCs w:val="21"/>
        </w:rPr>
        <w:t>5 果实套袋</w:t>
      </w:r>
    </w:p>
    <w:p w14:paraId="7CA2486C">
      <w:pPr>
        <w:widowControl/>
        <w:tabs>
          <w:tab w:val="center" w:pos="4201"/>
          <w:tab w:val="right" w:leader="dot" w:pos="9298"/>
        </w:tabs>
        <w:autoSpaceDE w:val="0"/>
        <w:autoSpaceDN w:val="0"/>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4</w:t>
      </w:r>
      <w:r>
        <w:rPr>
          <w:rFonts w:ascii="黑体" w:hAnsi="黑体" w:eastAsia="黑体" w:cs="Times New Roman"/>
          <w:kern w:val="0"/>
          <w:szCs w:val="21"/>
        </w:rPr>
        <w:t>.</w:t>
      </w:r>
      <w:r>
        <w:rPr>
          <w:rFonts w:hint="eastAsia" w:ascii="黑体" w:hAnsi="黑体" w:eastAsia="黑体" w:cs="Times New Roman"/>
          <w:kern w:val="0"/>
          <w:szCs w:val="21"/>
        </w:rPr>
        <w:t>5</w:t>
      </w:r>
      <w:r>
        <w:rPr>
          <w:rFonts w:ascii="黑体" w:hAnsi="黑体" w:eastAsia="黑体" w:cs="Times New Roman"/>
          <w:kern w:val="0"/>
          <w:szCs w:val="21"/>
        </w:rPr>
        <w:t>.1</w:t>
      </w:r>
      <w:r>
        <w:rPr>
          <w:rFonts w:hint="eastAsia" w:ascii="黑体" w:hAnsi="黑体" w:eastAsia="黑体" w:cs="Times New Roman"/>
          <w:kern w:val="0"/>
          <w:szCs w:val="21"/>
        </w:rPr>
        <w:t>时期</w:t>
      </w:r>
    </w:p>
    <w:p w14:paraId="78C15543">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以</w:t>
      </w:r>
      <w:r>
        <w:rPr>
          <w:rFonts w:ascii="Times New Roman" w:hAnsi="Times New Roman" w:eastAsia="宋体" w:cs="宋体"/>
          <w:kern w:val="0"/>
          <w:szCs w:val="21"/>
        </w:rPr>
        <w:t>5</w:t>
      </w:r>
      <w:r>
        <w:rPr>
          <w:rFonts w:hint="eastAsia" w:ascii="Times New Roman" w:hAnsi="Times New Roman" w:eastAsia="宋体" w:cs="宋体"/>
          <w:kern w:val="0"/>
          <w:szCs w:val="21"/>
        </w:rPr>
        <w:t>月下旬至</w:t>
      </w:r>
      <w:r>
        <w:rPr>
          <w:rFonts w:ascii="Times New Roman" w:hAnsi="Times New Roman" w:eastAsia="宋体" w:cs="宋体"/>
          <w:kern w:val="0"/>
          <w:szCs w:val="21"/>
        </w:rPr>
        <w:t>6</w:t>
      </w:r>
      <w:r>
        <w:rPr>
          <w:rFonts w:hint="eastAsia" w:ascii="Times New Roman" w:hAnsi="Times New Roman" w:eastAsia="宋体" w:cs="宋体"/>
          <w:kern w:val="0"/>
          <w:szCs w:val="21"/>
        </w:rPr>
        <w:t>月中旬为宜。</w:t>
      </w:r>
    </w:p>
    <w:p w14:paraId="2BF0D943">
      <w:pPr>
        <w:widowControl/>
        <w:tabs>
          <w:tab w:val="center" w:pos="4201"/>
          <w:tab w:val="right" w:leader="dot" w:pos="9298"/>
        </w:tabs>
        <w:autoSpaceDE w:val="0"/>
        <w:autoSpaceDN w:val="0"/>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4</w:t>
      </w:r>
      <w:r>
        <w:rPr>
          <w:rFonts w:ascii="黑体" w:hAnsi="黑体" w:eastAsia="黑体" w:cs="Times New Roman"/>
          <w:kern w:val="0"/>
          <w:szCs w:val="21"/>
        </w:rPr>
        <w:t>.</w:t>
      </w:r>
      <w:r>
        <w:rPr>
          <w:rFonts w:hint="eastAsia" w:ascii="黑体" w:hAnsi="黑体" w:eastAsia="黑体" w:cs="Times New Roman"/>
          <w:kern w:val="0"/>
          <w:szCs w:val="21"/>
        </w:rPr>
        <w:t>5</w:t>
      </w:r>
      <w:r>
        <w:rPr>
          <w:rFonts w:ascii="黑体" w:hAnsi="黑体" w:eastAsia="黑体" w:cs="Times New Roman"/>
          <w:kern w:val="0"/>
          <w:szCs w:val="21"/>
        </w:rPr>
        <w:t>.2</w:t>
      </w:r>
      <w:r>
        <w:rPr>
          <w:rFonts w:hint="eastAsia" w:ascii="黑体" w:hAnsi="黑体" w:eastAsia="黑体" w:cs="Times New Roman"/>
          <w:kern w:val="0"/>
          <w:szCs w:val="21"/>
        </w:rPr>
        <w:t xml:space="preserve"> 选果</w:t>
      </w:r>
    </w:p>
    <w:p w14:paraId="51CBA4CC">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选果形正</w:t>
      </w:r>
      <w:r>
        <w:rPr>
          <w:rFonts w:ascii="Times New Roman" w:hAnsi="Times New Roman" w:eastAsia="宋体" w:cs="宋体"/>
          <w:kern w:val="0"/>
          <w:szCs w:val="21"/>
        </w:rPr>
        <w:t>,</w:t>
      </w:r>
      <w:r>
        <w:rPr>
          <w:rFonts w:hint="eastAsia" w:ascii="Times New Roman" w:hAnsi="Times New Roman" w:eastAsia="宋体" w:cs="宋体"/>
          <w:kern w:val="0"/>
          <w:szCs w:val="21"/>
        </w:rPr>
        <w:t>果肩平，萼片紧闭，果梗较长的下垂和侧生果为宜。</w:t>
      </w:r>
    </w:p>
    <w:p w14:paraId="0C7E0E90">
      <w:pPr>
        <w:widowControl/>
        <w:tabs>
          <w:tab w:val="center" w:pos="4201"/>
          <w:tab w:val="right" w:leader="dot" w:pos="9298"/>
        </w:tabs>
        <w:autoSpaceDE w:val="0"/>
        <w:autoSpaceDN w:val="0"/>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4</w:t>
      </w:r>
      <w:r>
        <w:rPr>
          <w:rFonts w:ascii="黑体" w:hAnsi="黑体" w:eastAsia="黑体" w:cs="Times New Roman"/>
          <w:kern w:val="0"/>
          <w:szCs w:val="21"/>
        </w:rPr>
        <w:t>.</w:t>
      </w:r>
      <w:r>
        <w:rPr>
          <w:rFonts w:hint="eastAsia" w:ascii="黑体" w:hAnsi="黑体" w:eastAsia="黑体" w:cs="Times New Roman"/>
          <w:kern w:val="0"/>
          <w:szCs w:val="21"/>
        </w:rPr>
        <w:t>5</w:t>
      </w:r>
      <w:r>
        <w:rPr>
          <w:rFonts w:ascii="黑体" w:hAnsi="黑体" w:eastAsia="黑体" w:cs="Times New Roman"/>
          <w:kern w:val="0"/>
          <w:szCs w:val="21"/>
        </w:rPr>
        <w:t>.3</w:t>
      </w:r>
      <w:r>
        <w:rPr>
          <w:rFonts w:hint="eastAsia" w:ascii="黑体" w:hAnsi="黑体" w:eastAsia="黑体" w:cs="Times New Roman"/>
          <w:kern w:val="0"/>
          <w:szCs w:val="21"/>
        </w:rPr>
        <w:t xml:space="preserve"> 方法</w:t>
      </w:r>
    </w:p>
    <w:p w14:paraId="5B0165BB">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按要求先撑鼓袋子，打开透气孔；袋底朝上，由上往下套，将幼果悬于袋中央；袋口由两边向中间折叠，不能伤及果柄；封袋口应折向无纵切口的一面，并用扎丝夹紧。</w:t>
      </w:r>
    </w:p>
    <w:p w14:paraId="5FA89258">
      <w:pPr>
        <w:widowControl/>
        <w:tabs>
          <w:tab w:val="center" w:pos="4201"/>
          <w:tab w:val="right" w:leader="dot" w:pos="9298"/>
        </w:tabs>
        <w:autoSpaceDE w:val="0"/>
        <w:autoSpaceDN w:val="0"/>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4</w:t>
      </w:r>
      <w:r>
        <w:rPr>
          <w:rFonts w:ascii="黑体" w:hAnsi="黑体" w:eastAsia="黑体" w:cs="Times New Roman"/>
          <w:kern w:val="0"/>
          <w:szCs w:val="21"/>
        </w:rPr>
        <w:t>.</w:t>
      </w:r>
      <w:r>
        <w:rPr>
          <w:rFonts w:hint="eastAsia" w:ascii="黑体" w:hAnsi="黑体" w:eastAsia="黑体" w:cs="Times New Roman"/>
          <w:kern w:val="0"/>
          <w:szCs w:val="21"/>
        </w:rPr>
        <w:t>5</w:t>
      </w:r>
      <w:r>
        <w:rPr>
          <w:rFonts w:ascii="黑体" w:hAnsi="黑体" w:eastAsia="黑体" w:cs="Times New Roman"/>
          <w:kern w:val="0"/>
          <w:szCs w:val="21"/>
        </w:rPr>
        <w:t>.4</w:t>
      </w:r>
      <w:r>
        <w:rPr>
          <w:rFonts w:hint="eastAsia" w:ascii="黑体" w:hAnsi="黑体" w:eastAsia="黑体" w:cs="Times New Roman"/>
          <w:kern w:val="0"/>
          <w:szCs w:val="21"/>
        </w:rPr>
        <w:t xml:space="preserve"> 摘袋</w:t>
      </w:r>
    </w:p>
    <w:p w14:paraId="61032AE2">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果品采收前</w:t>
      </w:r>
      <w:r>
        <w:rPr>
          <w:rFonts w:ascii="Times New Roman" w:hAnsi="Times New Roman" w:eastAsia="宋体" w:cs="宋体"/>
          <w:kern w:val="0"/>
          <w:szCs w:val="21"/>
        </w:rPr>
        <w:t>15</w:t>
      </w:r>
      <w:r>
        <w:rPr>
          <w:rFonts w:hint="eastAsia" w:ascii="Times New Roman" w:hAnsi="Times New Roman" w:eastAsia="宋体" w:cs="宋体"/>
          <w:kern w:val="0"/>
          <w:szCs w:val="21"/>
        </w:rPr>
        <w:t>d左右除去外袋，</w:t>
      </w:r>
      <w:r>
        <w:rPr>
          <w:rFonts w:ascii="Times New Roman" w:hAnsi="Times New Roman" w:eastAsia="宋体" w:cs="宋体"/>
          <w:kern w:val="0"/>
          <w:szCs w:val="21"/>
        </w:rPr>
        <w:t>5</w:t>
      </w:r>
      <w:r>
        <w:rPr>
          <w:rFonts w:hint="eastAsia" w:ascii="Times New Roman" w:hAnsi="Times New Roman" w:eastAsia="宋体" w:cs="宋体"/>
          <w:kern w:val="0"/>
          <w:szCs w:val="21"/>
        </w:rPr>
        <w:t>d～</w:t>
      </w:r>
      <w:r>
        <w:rPr>
          <w:rFonts w:ascii="Times New Roman" w:hAnsi="Times New Roman" w:eastAsia="宋体" w:cs="宋体"/>
          <w:kern w:val="0"/>
          <w:szCs w:val="21"/>
        </w:rPr>
        <w:t>7</w:t>
      </w:r>
      <w:r>
        <w:rPr>
          <w:rFonts w:hint="eastAsia" w:ascii="Times New Roman" w:hAnsi="Times New Roman" w:eastAsia="宋体" w:cs="宋体"/>
          <w:kern w:val="0"/>
          <w:szCs w:val="21"/>
        </w:rPr>
        <w:t>d（至少有</w:t>
      </w:r>
      <w:r>
        <w:rPr>
          <w:rFonts w:ascii="Times New Roman" w:hAnsi="Times New Roman" w:eastAsia="宋体" w:cs="宋体"/>
          <w:kern w:val="0"/>
          <w:szCs w:val="21"/>
        </w:rPr>
        <w:t>3</w:t>
      </w:r>
      <w:r>
        <w:rPr>
          <w:rFonts w:hint="eastAsia" w:ascii="Times New Roman" w:hAnsi="Times New Roman" w:eastAsia="宋体" w:cs="宋体"/>
          <w:kern w:val="0"/>
          <w:szCs w:val="21"/>
        </w:rPr>
        <w:t>个晴天）再除内袋，严禁内外袋一次性去除。</w:t>
      </w:r>
    </w:p>
    <w:p w14:paraId="5191160A">
      <w:pPr>
        <w:widowControl/>
        <w:tabs>
          <w:tab w:val="center" w:pos="4201"/>
          <w:tab w:val="right" w:leader="dot" w:pos="9298"/>
        </w:tabs>
        <w:autoSpaceDE w:val="0"/>
        <w:autoSpaceDN w:val="0"/>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4.6 增色措施</w:t>
      </w:r>
    </w:p>
    <w:p w14:paraId="460753BA">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主要措施有摘叶转果和铺设反光膜。</w:t>
      </w:r>
    </w:p>
    <w:p w14:paraId="2223D519">
      <w:pPr>
        <w:widowControl/>
        <w:tabs>
          <w:tab w:val="center" w:pos="4201"/>
          <w:tab w:val="right" w:leader="dot" w:pos="9298"/>
        </w:tabs>
        <w:autoSpaceDE w:val="0"/>
        <w:autoSpaceDN w:val="0"/>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4.6</w:t>
      </w:r>
      <w:r>
        <w:rPr>
          <w:rFonts w:ascii="黑体" w:hAnsi="黑体" w:eastAsia="黑体" w:cs="Times New Roman"/>
          <w:kern w:val="0"/>
          <w:szCs w:val="21"/>
        </w:rPr>
        <w:t>.1</w:t>
      </w:r>
      <w:r>
        <w:rPr>
          <w:rFonts w:hint="eastAsia" w:ascii="黑体" w:hAnsi="黑体" w:eastAsia="黑体" w:cs="Times New Roman"/>
          <w:kern w:val="0"/>
          <w:szCs w:val="21"/>
        </w:rPr>
        <w:t xml:space="preserve"> 摘叶转果</w:t>
      </w:r>
    </w:p>
    <w:p w14:paraId="53B2E158">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摘叶</w:t>
      </w:r>
      <w:r>
        <w:rPr>
          <w:rFonts w:ascii="Times New Roman" w:hAnsi="Times New Roman" w:eastAsia="宋体" w:cs="宋体"/>
          <w:kern w:val="0"/>
          <w:szCs w:val="21"/>
        </w:rPr>
        <w:t xml:space="preserve"> </w:t>
      </w:r>
      <w:r>
        <w:rPr>
          <w:rFonts w:hint="eastAsia" w:ascii="Times New Roman" w:hAnsi="Times New Roman" w:eastAsia="宋体" w:cs="宋体"/>
          <w:kern w:val="0"/>
          <w:szCs w:val="21"/>
        </w:rPr>
        <w:t>红色品种于成熟前</w:t>
      </w:r>
      <w:r>
        <w:rPr>
          <w:rFonts w:ascii="Times New Roman" w:hAnsi="Times New Roman" w:eastAsia="宋体" w:cs="宋体"/>
          <w:kern w:val="0"/>
          <w:szCs w:val="21"/>
        </w:rPr>
        <w:t>20</w:t>
      </w:r>
      <w:r>
        <w:rPr>
          <w:rFonts w:hint="eastAsia" w:ascii="Times New Roman" w:hAnsi="Times New Roman" w:eastAsia="宋体" w:cs="宋体"/>
          <w:kern w:val="0"/>
          <w:szCs w:val="21"/>
        </w:rPr>
        <w:t>d～</w:t>
      </w:r>
      <w:r>
        <w:rPr>
          <w:rFonts w:ascii="Times New Roman" w:hAnsi="Times New Roman" w:eastAsia="宋体" w:cs="宋体"/>
          <w:kern w:val="0"/>
          <w:szCs w:val="21"/>
        </w:rPr>
        <w:t>30</w:t>
      </w:r>
      <w:r>
        <w:rPr>
          <w:rFonts w:hint="eastAsia" w:ascii="Times New Roman" w:hAnsi="Times New Roman" w:eastAsia="宋体" w:cs="宋体"/>
          <w:kern w:val="0"/>
          <w:szCs w:val="21"/>
        </w:rPr>
        <w:t>d（套袋果结合除袋）分次摘除贴果叶和遮果叶，摘叶时应保留叶柄，摘叶量约为全树叶量的</w:t>
      </w:r>
      <w:r>
        <w:rPr>
          <w:rFonts w:ascii="Times New Roman" w:hAnsi="Times New Roman" w:eastAsia="宋体" w:cs="宋体"/>
          <w:kern w:val="0"/>
          <w:szCs w:val="21"/>
        </w:rPr>
        <w:t>20%</w:t>
      </w:r>
      <w:r>
        <w:rPr>
          <w:rFonts w:hint="eastAsia" w:ascii="Times New Roman" w:hAnsi="Times New Roman" w:eastAsia="宋体" w:cs="宋体"/>
          <w:kern w:val="0"/>
          <w:szCs w:val="21"/>
        </w:rPr>
        <w:t>。</w:t>
      </w:r>
    </w:p>
    <w:p w14:paraId="107BCED4">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转果</w:t>
      </w:r>
      <w:r>
        <w:rPr>
          <w:rFonts w:ascii="Times New Roman" w:hAnsi="Times New Roman" w:eastAsia="宋体" w:cs="宋体"/>
          <w:kern w:val="0"/>
          <w:szCs w:val="21"/>
        </w:rPr>
        <w:t xml:space="preserve"> </w:t>
      </w:r>
      <w:r>
        <w:rPr>
          <w:rFonts w:hint="eastAsia" w:ascii="Times New Roman" w:hAnsi="Times New Roman" w:eastAsia="宋体" w:cs="宋体"/>
          <w:kern w:val="0"/>
          <w:szCs w:val="21"/>
        </w:rPr>
        <w:t>即将果实阴面转向阳面并固定，促进果实全面着色。</w:t>
      </w:r>
    </w:p>
    <w:p w14:paraId="78BA5708">
      <w:pPr>
        <w:widowControl/>
        <w:tabs>
          <w:tab w:val="center" w:pos="4201"/>
          <w:tab w:val="right" w:leader="dot" w:pos="9298"/>
        </w:tabs>
        <w:autoSpaceDE w:val="0"/>
        <w:autoSpaceDN w:val="0"/>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4.6</w:t>
      </w:r>
      <w:r>
        <w:rPr>
          <w:rFonts w:ascii="黑体" w:hAnsi="黑体" w:eastAsia="黑体" w:cs="Times New Roman"/>
          <w:kern w:val="0"/>
          <w:szCs w:val="21"/>
        </w:rPr>
        <w:t>.2</w:t>
      </w:r>
      <w:r>
        <w:rPr>
          <w:rFonts w:hint="eastAsia" w:ascii="黑体" w:hAnsi="黑体" w:eastAsia="黑体" w:cs="Times New Roman"/>
          <w:kern w:val="0"/>
          <w:szCs w:val="21"/>
        </w:rPr>
        <w:t xml:space="preserve"> 铺反光膜</w:t>
      </w:r>
    </w:p>
    <w:p w14:paraId="1FA9BAB4">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在果实着色期或套袋果去除内袋后，选铺银色反光膜。</w:t>
      </w:r>
    </w:p>
    <w:p w14:paraId="4D6C5B57">
      <w:pPr>
        <w:widowControl/>
        <w:tabs>
          <w:tab w:val="center" w:pos="4201"/>
          <w:tab w:val="right" w:leader="dot" w:pos="9298"/>
        </w:tabs>
        <w:autoSpaceDE w:val="0"/>
        <w:autoSpaceDN w:val="0"/>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4.6</w:t>
      </w:r>
      <w:r>
        <w:rPr>
          <w:rFonts w:ascii="黑体" w:hAnsi="黑体" w:eastAsia="黑体" w:cs="Times New Roman"/>
          <w:kern w:val="0"/>
          <w:szCs w:val="21"/>
        </w:rPr>
        <w:t>.3</w:t>
      </w:r>
      <w:r>
        <w:rPr>
          <w:rFonts w:hint="eastAsia" w:ascii="黑体" w:hAnsi="黑体" w:eastAsia="黑体" w:cs="Times New Roman"/>
          <w:kern w:val="0"/>
          <w:szCs w:val="21"/>
        </w:rPr>
        <w:t xml:space="preserve"> 其他措施</w:t>
      </w:r>
    </w:p>
    <w:p w14:paraId="50F8EB2D">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可采用喷水、喷肥等其它措施。</w:t>
      </w:r>
    </w:p>
    <w:p w14:paraId="7862FDA1">
      <w:pPr>
        <w:widowControl/>
        <w:tabs>
          <w:tab w:val="center" w:pos="4201"/>
          <w:tab w:val="right" w:leader="dot" w:pos="9298"/>
        </w:tabs>
        <w:autoSpaceDE w:val="0"/>
        <w:autoSpaceDN w:val="0"/>
        <w:rPr>
          <w:rFonts w:hint="eastAsia" w:ascii="黑体" w:hAnsi="黑体" w:eastAsia="黑体" w:cs="Times New Roman"/>
          <w:kern w:val="0"/>
          <w:szCs w:val="21"/>
        </w:rPr>
      </w:pPr>
      <w:bookmarkStart w:id="44" w:name="_Toc493812369"/>
      <w:r>
        <w:rPr>
          <w:rFonts w:hint="eastAsia" w:ascii="黑体" w:hAnsi="黑体" w:eastAsia="黑体" w:cs="Times New Roman"/>
          <w:kern w:val="0"/>
          <w:szCs w:val="21"/>
        </w:rPr>
        <w:t>6.4 整形修剪</w:t>
      </w:r>
      <w:bookmarkEnd w:id="44"/>
    </w:p>
    <w:p w14:paraId="08A8F2FE">
      <w:pPr>
        <w:widowControl/>
        <w:tabs>
          <w:tab w:val="center" w:pos="4201"/>
          <w:tab w:val="right" w:leader="dot" w:pos="9298"/>
        </w:tabs>
        <w:autoSpaceDE w:val="0"/>
        <w:autoSpaceDN w:val="0"/>
        <w:rPr>
          <w:rFonts w:hint="eastAsia" w:ascii="黑体" w:hAnsi="黑体" w:eastAsia="黑体" w:cs="Times New Roman"/>
          <w:kern w:val="0"/>
          <w:szCs w:val="21"/>
        </w:rPr>
      </w:pPr>
      <w:bookmarkStart w:id="45" w:name="_Toc493812373"/>
      <w:r>
        <w:rPr>
          <w:rFonts w:hint="eastAsia" w:ascii="黑体" w:hAnsi="黑体" w:eastAsia="黑体" w:cs="Times New Roman"/>
          <w:kern w:val="0"/>
          <w:szCs w:val="21"/>
        </w:rPr>
        <w:t>6.4.1 乔砧树</w:t>
      </w:r>
    </w:p>
    <w:p w14:paraId="547EA428">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6.4.1.1 树形选择</w:t>
      </w:r>
    </w:p>
    <w:p w14:paraId="196C80FA">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1～7年生选培自由纺锤形树形，8～14年为变则主干形，15年以上为小冠开心形，乔砧短枝型品种的树形为自由纺锤形。</w:t>
      </w:r>
    </w:p>
    <w:p w14:paraId="729CC69E">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6.4.1.2 修剪技术</w:t>
      </w:r>
    </w:p>
    <w:p w14:paraId="037C8666">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6.4.1.2.1 冬季修剪</w:t>
      </w:r>
    </w:p>
    <w:p w14:paraId="5B3CB937">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自由纺锤树形幼树修剪注意“轻剪、长放、多留枝”。乔砧短枝型品种成龄挂果后根据结果枝组强弱适当回缩或短截更新复壮。</w:t>
      </w:r>
    </w:p>
    <w:p w14:paraId="439A5BBB">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变则主干树形修剪包括提干、疏枝、控冠、间伐、枝组培养和更新等。</w:t>
      </w:r>
    </w:p>
    <w:p w14:paraId="13BDEC3A">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小冠开心树形修剪包括扶持主枝延长头、枝组更新复壮、衰老残败更新改造等。</w:t>
      </w:r>
    </w:p>
    <w:p w14:paraId="781C37FF">
      <w:pPr>
        <w:widowControl/>
        <w:tabs>
          <w:tab w:val="center" w:pos="4201"/>
          <w:tab w:val="right" w:leader="dot" w:pos="9298"/>
        </w:tabs>
        <w:autoSpaceDE w:val="0"/>
        <w:autoSpaceDN w:val="0"/>
        <w:rPr>
          <w:rFonts w:hint="eastAsia" w:ascii="黑体" w:hAnsi="黑体" w:eastAsia="黑体" w:cs="宋体"/>
          <w:kern w:val="0"/>
        </w:rPr>
      </w:pPr>
      <w:r>
        <w:rPr>
          <w:rFonts w:hint="eastAsia" w:ascii="黑体" w:hAnsi="黑体" w:eastAsia="黑体" w:cs="Times New Roman"/>
          <w:kern w:val="0"/>
          <w:szCs w:val="21"/>
        </w:rPr>
        <w:t>6.4.1.2.2 生长季修剪</w:t>
      </w:r>
    </w:p>
    <w:p w14:paraId="6D9D240D">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对“光秃”现象严重的成龄树和幼旺树，萌芽前后在缺枝部位芽上方0.3cm～0.5cm处刻一道深达木质部伤痕，促进发枝，弥补空间。苹果春季萌芽后，抹除主干、主枝基部10cm以内、剪锯口周围无用的萌蘖和过多背上芽。对成龄果园树冠内的直立枝、徒长枝、过密枝以及树冠外围的多头枝、过密枝、徒长枝从基部剪除。对主枝背上过密枝、直立旺枝和徒长枝应适当疏除，保留枝采取拉、揉、拿等办法进行控制利用。疏除主枝延长头前端的多头枝，使其单轴延伸。幼树主要对中干延长头竞争枝及时疏除理，扶持中干健壮生长。延长头于9月份进行摘心，促进枝芽充实，防止抽条。乔砧普通型品种永久性主枝角度应开张到80°，临时性主枝90°～100°，侧生枝直接拉下垂。乔砧短枝型品种所有主枝应开张到90°～100°。针对幼旺树、适龄不挂果树，果树花芽分化临界期，在临时性主枝和侧生枝基部20cm以内的光滑部位进行1～3次环切，间隔期约一周，切口间距约5cm。乔砧短枝型品种不进行环切。</w:t>
      </w:r>
    </w:p>
    <w:p w14:paraId="407CEEA6">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6.4.2 矮砧树</w:t>
      </w:r>
    </w:p>
    <w:p w14:paraId="13DC2DC0">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6.4.2.1 树形选择</w:t>
      </w:r>
    </w:p>
    <w:p w14:paraId="00D3D141">
      <w:pPr>
        <w:widowControl/>
        <w:tabs>
          <w:tab w:val="center" w:pos="4201"/>
          <w:tab w:val="right" w:leader="dot" w:pos="9298"/>
        </w:tabs>
        <w:autoSpaceDE w:val="0"/>
        <w:autoSpaceDN w:val="0"/>
        <w:ind w:firstLine="420" w:firstLineChars="200"/>
        <w:rPr>
          <w:rFonts w:ascii="Times New Roman" w:hAnsi="Times New Roman" w:eastAsia="黑体" w:cs="Times New Roman"/>
          <w:kern w:val="0"/>
          <w:szCs w:val="21"/>
        </w:rPr>
      </w:pPr>
      <w:r>
        <w:rPr>
          <w:rFonts w:hint="eastAsia" w:ascii="Times New Roman" w:hAnsi="Times New Roman" w:eastAsia="宋体" w:cs="宋体"/>
          <w:kern w:val="0"/>
          <w:szCs w:val="21"/>
        </w:rPr>
        <w:t>细长纺锤形和高纺锤形。</w:t>
      </w:r>
    </w:p>
    <w:p w14:paraId="590F6E6C">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6.4.2.2 修剪技术</w:t>
      </w:r>
    </w:p>
    <w:p w14:paraId="400C0DD6">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6.4.2.2.1 冬季修剪</w:t>
      </w:r>
    </w:p>
    <w:p w14:paraId="297B9F90">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一年生树修剪：中央领导干延长头在饱满芽处轻短截，中干上萌发的小枝全部留上平台疏除。二年生树修剪：继续对中央领导干延长头在饱满芽轻短截。对中干上萌发的竞争枝及粗度达到着生部位中干粗度1/4的枝条留上平台疏除，其余小主枝全部缓放。结合春季刻芽定位发枝的方法每15cm左右螺旋上升排列刻芽促发枝条。三年生以上树修剪：以疏枝、长放两种手法为主，少短截，培养健壮的中央领导干，其上直接培养结果枝组。</w:t>
      </w:r>
    </w:p>
    <w:p w14:paraId="06A52278">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6.4.2.2.1 生长季修剪</w:t>
      </w:r>
    </w:p>
    <w:p w14:paraId="08281031">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同乔砧树。</w:t>
      </w:r>
    </w:p>
    <w:p w14:paraId="0401DCEE">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6.5 病虫害防治</w:t>
      </w:r>
      <w:bookmarkEnd w:id="45"/>
    </w:p>
    <w:p w14:paraId="5685419E">
      <w:pPr>
        <w:widowControl/>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5</w:t>
      </w:r>
      <w:r>
        <w:rPr>
          <w:rFonts w:ascii="黑体" w:hAnsi="黑体" w:eastAsia="黑体" w:cs="Times New Roman"/>
          <w:kern w:val="0"/>
          <w:szCs w:val="21"/>
        </w:rPr>
        <w:t>.1</w:t>
      </w:r>
      <w:r>
        <w:rPr>
          <w:rFonts w:hint="eastAsia" w:ascii="黑体" w:hAnsi="黑体" w:eastAsia="黑体" w:cs="Times New Roman"/>
          <w:kern w:val="0"/>
          <w:szCs w:val="21"/>
        </w:rPr>
        <w:t xml:space="preserve"> </w:t>
      </w:r>
      <w:r>
        <w:rPr>
          <w:rFonts w:ascii="黑体" w:hAnsi="黑体" w:eastAsia="黑体" w:cs="Times New Roman"/>
          <w:kern w:val="0"/>
          <w:szCs w:val="21"/>
        </w:rPr>
        <w:t>防治原则</w:t>
      </w:r>
    </w:p>
    <w:p w14:paraId="51333C37">
      <w:pPr>
        <w:ind w:firstLine="420" w:firstLineChars="200"/>
        <w:rPr>
          <w:rFonts w:ascii="Times New Roman" w:hAnsi="Calibri" w:eastAsia="宋体" w:cs="Times New Roman"/>
        </w:rPr>
      </w:pPr>
      <w:r>
        <w:rPr>
          <w:rFonts w:hint="eastAsia" w:ascii="Times New Roman" w:hAnsi="Times New Roman" w:eastAsia="宋体" w:cs="Times New Roman"/>
          <w:szCs w:val="21"/>
        </w:rPr>
        <w:t>坚持预防为主</w:t>
      </w:r>
      <w:r>
        <w:rPr>
          <w:rFonts w:hint="eastAsia" w:ascii="Times New Roman" w:hAnsi="Calibri" w:eastAsia="宋体" w:cs="Times New Roman"/>
        </w:rPr>
        <w:t>，综合防治，以农业措施、物理措施和生物措施为主，化学防治为辅，应选用符合NY/T 393规定的化学农药。强化病虫害的测报。</w:t>
      </w:r>
    </w:p>
    <w:p w14:paraId="3599E073">
      <w:pPr>
        <w:widowControl/>
        <w:tabs>
          <w:tab w:val="center" w:pos="4201"/>
          <w:tab w:val="right" w:leader="dot" w:pos="9298"/>
        </w:tabs>
        <w:autoSpaceDE w:val="0"/>
        <w:autoSpaceDN w:val="0"/>
        <w:rPr>
          <w:rFonts w:hint="eastAsia" w:ascii="黑体" w:hAnsi="黑体" w:eastAsia="黑体" w:cs="Times New Roman"/>
          <w:kern w:val="0"/>
          <w:szCs w:val="21"/>
        </w:rPr>
      </w:pPr>
      <w:bookmarkStart w:id="46" w:name="_Toc493812374"/>
      <w:r>
        <w:rPr>
          <w:rFonts w:hint="eastAsia" w:ascii="黑体" w:hAnsi="黑体" w:eastAsia="黑体" w:cs="Times New Roman"/>
          <w:kern w:val="0"/>
          <w:szCs w:val="21"/>
        </w:rPr>
        <w:t>6.5.2 常见病虫害</w:t>
      </w:r>
      <w:bookmarkEnd w:id="46"/>
    </w:p>
    <w:p w14:paraId="6B4466C7">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苹果腐烂病、斑点落叶病、锈病、白粉病；蚜虫、叶螨、卷叶蛾、金纹细蛾等。</w:t>
      </w:r>
    </w:p>
    <w:p w14:paraId="3A27D9AD">
      <w:pPr>
        <w:widowControl/>
        <w:tabs>
          <w:tab w:val="center" w:pos="4201"/>
          <w:tab w:val="right" w:leader="dot" w:pos="9298"/>
        </w:tabs>
        <w:autoSpaceDE w:val="0"/>
        <w:autoSpaceDN w:val="0"/>
        <w:rPr>
          <w:rFonts w:hint="eastAsia" w:ascii="黑体" w:hAnsi="黑体" w:eastAsia="黑体" w:cs="Times New Roman"/>
          <w:kern w:val="0"/>
          <w:szCs w:val="21"/>
        </w:rPr>
      </w:pPr>
      <w:bookmarkStart w:id="47" w:name="_Toc493812375"/>
      <w:r>
        <w:rPr>
          <w:rFonts w:hint="eastAsia" w:ascii="黑体" w:hAnsi="黑体" w:eastAsia="黑体" w:cs="Times New Roman"/>
          <w:kern w:val="0"/>
          <w:szCs w:val="21"/>
        </w:rPr>
        <w:t>6.5.</w:t>
      </w:r>
      <w:bookmarkEnd w:id="47"/>
      <w:r>
        <w:rPr>
          <w:rFonts w:hint="eastAsia" w:ascii="黑体" w:hAnsi="黑体" w:eastAsia="黑体" w:cs="Times New Roman"/>
          <w:kern w:val="0"/>
          <w:szCs w:val="21"/>
        </w:rPr>
        <w:t>3 农业防治</w:t>
      </w:r>
    </w:p>
    <w:p w14:paraId="25D6A594">
      <w:pPr>
        <w:widowControl/>
        <w:tabs>
          <w:tab w:val="center" w:pos="4201"/>
          <w:tab w:val="right" w:leader="dot" w:pos="9298"/>
        </w:tabs>
        <w:autoSpaceDE w:val="0"/>
        <w:autoSpaceDN w:val="0"/>
        <w:ind w:firstLine="420" w:firstLineChars="200"/>
        <w:rPr>
          <w:rFonts w:ascii="Times New Roman" w:hAnsi="Times New Roman" w:eastAsia="宋体" w:cs="宋体"/>
          <w:kern w:val="0"/>
        </w:rPr>
      </w:pPr>
      <w:r>
        <w:rPr>
          <w:rFonts w:hint="eastAsia" w:ascii="Times New Roman" w:hAnsi="Times New Roman" w:eastAsia="宋体" w:cs="宋体"/>
          <w:kern w:val="0"/>
          <w:szCs w:val="21"/>
        </w:rPr>
        <w:t>清除病虫果</w:t>
      </w:r>
      <w:r>
        <w:rPr>
          <w:rFonts w:hint="eastAsia" w:ascii="Times New Roman" w:hAnsi="Times New Roman" w:eastAsia="宋体" w:cs="宋体"/>
          <w:kern w:val="0"/>
        </w:rPr>
        <w:t>、病枯枝、落叶、杂草，刮除树干老翘皮，在指定地点集中销毁或无害化处理。</w:t>
      </w:r>
      <w:r>
        <w:rPr>
          <w:rFonts w:hint="eastAsia" w:ascii="Times New Roman" w:hAnsi="Times New Roman" w:eastAsia="宋体" w:cs="宋体"/>
          <w:kern w:val="0"/>
          <w:szCs w:val="21"/>
        </w:rPr>
        <w:t>秋季翻树盘</w:t>
      </w:r>
      <w:r>
        <w:rPr>
          <w:rFonts w:hint="eastAsia" w:ascii="Times New Roman" w:hAnsi="Times New Roman" w:eastAsia="宋体" w:cs="宋体"/>
          <w:kern w:val="0"/>
        </w:rPr>
        <w:t>，减少土壤中越冬害虫。</w:t>
      </w:r>
      <w:r>
        <w:rPr>
          <w:rFonts w:hint="eastAsia" w:ascii="Times New Roman" w:hAnsi="Times New Roman" w:eastAsia="宋体" w:cs="宋体"/>
          <w:kern w:val="0"/>
          <w:szCs w:val="21"/>
        </w:rPr>
        <w:t>采用果园生草</w:t>
      </w:r>
      <w:r>
        <w:rPr>
          <w:rFonts w:hint="eastAsia" w:ascii="Times New Roman" w:hAnsi="Times New Roman" w:eastAsia="宋体" w:cs="宋体"/>
          <w:kern w:val="0"/>
        </w:rPr>
        <w:t>、秸秆覆盖、科学施肥等措施强壮树势，增强抵御病虫害的能力。</w:t>
      </w:r>
    </w:p>
    <w:p w14:paraId="369AEF8A">
      <w:pPr>
        <w:widowControl/>
        <w:tabs>
          <w:tab w:val="center" w:pos="4201"/>
          <w:tab w:val="right" w:leader="dot" w:pos="9298"/>
        </w:tabs>
        <w:autoSpaceDE w:val="0"/>
        <w:autoSpaceDN w:val="0"/>
        <w:rPr>
          <w:rFonts w:hint="eastAsia" w:ascii="黑体" w:hAnsi="黑体" w:eastAsia="黑体" w:cs="宋体"/>
          <w:kern w:val="0"/>
        </w:rPr>
      </w:pPr>
      <w:r>
        <w:rPr>
          <w:rFonts w:hint="eastAsia" w:ascii="黑体" w:hAnsi="黑体" w:eastAsia="黑体" w:cs="Times New Roman"/>
          <w:kern w:val="0"/>
          <w:szCs w:val="21"/>
        </w:rPr>
        <w:t>6.5.4 物理防治</w:t>
      </w:r>
    </w:p>
    <w:p w14:paraId="70E453A0">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采用杀虫灯、粘虫板、诱虫带、糖醋液等方法诱杀害虫。</w:t>
      </w:r>
    </w:p>
    <w:p w14:paraId="026920CF">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6.5.5 生物防治</w:t>
      </w:r>
    </w:p>
    <w:p w14:paraId="161C4618">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人工释放赤眼蜂、捕食螨等天敌，保护和利用瓢虫、草蛉等昆虫，控制害虫（害螨）等危害。利用土壤施用白僵菌防治食心虫。利用性诱剂诱杀金纹细蛾、食心虫、卷叶蛾等害虫。</w:t>
      </w:r>
    </w:p>
    <w:p w14:paraId="55B9D698">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6.5.6 化学防治措施</w:t>
      </w:r>
    </w:p>
    <w:p w14:paraId="556A67D3">
      <w:pPr>
        <w:widowControl/>
        <w:tabs>
          <w:tab w:val="center" w:pos="4201"/>
          <w:tab w:val="right" w:leader="dot" w:pos="9298"/>
        </w:tabs>
        <w:autoSpaceDE w:val="0"/>
        <w:autoSpaceDN w:val="0"/>
        <w:ind w:firstLine="420" w:firstLineChars="200"/>
        <w:rPr>
          <w:rFonts w:ascii="Times New Roman" w:hAnsi="Times New Roman" w:eastAsia="宋体" w:cs="宋体"/>
          <w:kern w:val="0"/>
        </w:rPr>
      </w:pPr>
      <w:r>
        <w:rPr>
          <w:rFonts w:hint="eastAsia" w:ascii="Times New Roman" w:hAnsi="Times New Roman" w:eastAsia="宋体" w:cs="宋体"/>
          <w:kern w:val="0"/>
          <w:szCs w:val="21"/>
        </w:rPr>
        <w:t>农药的选择和使用应符合</w:t>
      </w:r>
      <w:r>
        <w:rPr>
          <w:rFonts w:hint="eastAsia" w:ascii="Times New Roman" w:hAnsi="Times New Roman" w:eastAsia="宋体" w:cs="宋体"/>
          <w:kern w:val="0"/>
        </w:rPr>
        <w:t>NY/T 393的规定。苹果主要病虫害化学防治措施见附录A。</w:t>
      </w:r>
    </w:p>
    <w:p w14:paraId="476B5AD8">
      <w:pPr>
        <w:widowControl/>
        <w:tabs>
          <w:tab w:val="center" w:pos="4201"/>
          <w:tab w:val="right" w:leader="dot" w:pos="9298"/>
        </w:tabs>
        <w:autoSpaceDE w:val="0"/>
        <w:autoSpaceDN w:val="0"/>
        <w:rPr>
          <w:rFonts w:ascii="Times New Roman" w:hAnsi="Times New Roman" w:eastAsia="黑体" w:cs="Times New Roman"/>
          <w:kern w:val="0"/>
          <w:szCs w:val="21"/>
        </w:rPr>
      </w:pPr>
      <w:bookmarkStart w:id="48" w:name="_Toc493812782"/>
      <w:bookmarkStart w:id="49" w:name="_Toc493812386"/>
      <w:bookmarkStart w:id="50" w:name="_Toc493812913"/>
    </w:p>
    <w:p w14:paraId="6E1DE4FD">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   采收</w:t>
      </w:r>
      <w:bookmarkEnd w:id="48"/>
      <w:bookmarkEnd w:id="49"/>
      <w:bookmarkEnd w:id="50"/>
    </w:p>
    <w:p w14:paraId="2DF02F16">
      <w:pPr>
        <w:widowControl/>
        <w:tabs>
          <w:tab w:val="center" w:pos="4201"/>
          <w:tab w:val="right" w:leader="dot" w:pos="9298"/>
        </w:tabs>
        <w:autoSpaceDE w:val="0"/>
        <w:autoSpaceDN w:val="0"/>
        <w:rPr>
          <w:rFonts w:hint="eastAsia" w:ascii="黑体" w:hAnsi="黑体" w:eastAsia="黑体" w:cs="Times New Roman"/>
          <w:kern w:val="0"/>
          <w:szCs w:val="21"/>
        </w:rPr>
      </w:pPr>
      <w:bookmarkStart w:id="51" w:name="_Toc493812391"/>
    </w:p>
    <w:p w14:paraId="0BE6A7DD">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7.1 采收技术要求</w:t>
      </w:r>
    </w:p>
    <w:p w14:paraId="2AC276C5">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7.1.1 采收期确定</w:t>
      </w:r>
    </w:p>
    <w:p w14:paraId="015320DD">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根据果实发育期、成熟度、用途和市场需求综合确定采收适期。采前落果较严重或成熟期不一致的品种，应分期采收。</w:t>
      </w:r>
    </w:p>
    <w:p w14:paraId="6D2061B9">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7.1.2 采收方法</w:t>
      </w:r>
    </w:p>
    <w:p w14:paraId="0E51F331">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用手掌轻托果实，食指抵住果柄基部，向上轻抬（折），果柄可自然与果实分离，禁止硬拽。采收应先采冠上和外围着色好的果实，冠下和内膛的果实着色后再采。</w:t>
      </w:r>
    </w:p>
    <w:p w14:paraId="78EB5CEA">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7.1.3 注意事项</w:t>
      </w:r>
    </w:p>
    <w:p w14:paraId="78586D19">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采果篮、周转箱内应衬垫软质材料，防止擦、碰、刺伤果实，最好选用采果袋；采收人员须剪短指甲或戴手套，以防指甲刺伤果面；采果时应尽量多用梯凳，少上树，避免踩伤树体和枝芽。</w:t>
      </w:r>
    </w:p>
    <w:p w14:paraId="735E4E17">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7.2 采收过程污染控制要求</w:t>
      </w:r>
    </w:p>
    <w:p w14:paraId="03E6CBDC">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7.2.1 采收用具</w:t>
      </w:r>
    </w:p>
    <w:p w14:paraId="48276201">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应保证采收器物没有任何污染，采收过程不能造成污染。</w:t>
      </w:r>
    </w:p>
    <w:p w14:paraId="29E7AB36">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7.2.2 果品堆放</w:t>
      </w:r>
    </w:p>
    <w:p w14:paraId="37A01135">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果品堆放应使用标准容器，并保持洁净。</w:t>
      </w:r>
    </w:p>
    <w:p w14:paraId="12C0E8E3">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7.2.3 果品保护</w:t>
      </w:r>
    </w:p>
    <w:p w14:paraId="0DB2FCA6">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果品禁止直接着地和日晒雨淋。</w:t>
      </w:r>
    </w:p>
    <w:p w14:paraId="269317EA">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7.2.4 储藏场所和运输工具</w:t>
      </w:r>
    </w:p>
    <w:p w14:paraId="74093AE8">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应清洁卫生、无异味，禁止与有毒、有异味的物品混存、混运。</w:t>
      </w:r>
    </w:p>
    <w:p w14:paraId="2125BA63">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7.2.5 人员卫生</w:t>
      </w:r>
    </w:p>
    <w:p w14:paraId="3F6C3537">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采后处理过程中所涉及的操作人员应该身体健康，保持卫生，穿着工作服，工作服保持整洁，佩戴手套、口罩等，工间休息、大小便及丢弃生活垃圾等应该在指定位置。</w:t>
      </w:r>
    </w:p>
    <w:bookmarkEnd w:id="51"/>
    <w:p w14:paraId="0134794F">
      <w:pPr>
        <w:widowControl/>
        <w:tabs>
          <w:tab w:val="center" w:pos="4201"/>
          <w:tab w:val="right" w:leader="dot" w:pos="9298"/>
        </w:tabs>
        <w:autoSpaceDE w:val="0"/>
        <w:autoSpaceDN w:val="0"/>
        <w:rPr>
          <w:rFonts w:ascii="Times New Roman" w:hAnsi="Times New Roman" w:eastAsia="黑体" w:cs="Times New Roman"/>
          <w:kern w:val="0"/>
          <w:szCs w:val="21"/>
        </w:rPr>
      </w:pPr>
      <w:bookmarkStart w:id="52" w:name="_Toc493812392"/>
      <w:bookmarkStart w:id="53" w:name="_Toc493812783"/>
      <w:bookmarkStart w:id="54" w:name="_Toc493812914"/>
    </w:p>
    <w:p w14:paraId="6168D28F">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8   生产废弃物处理</w:t>
      </w:r>
      <w:bookmarkEnd w:id="52"/>
      <w:bookmarkEnd w:id="53"/>
      <w:bookmarkEnd w:id="54"/>
    </w:p>
    <w:p w14:paraId="0D60BA44">
      <w:pPr>
        <w:widowControl/>
        <w:tabs>
          <w:tab w:val="center" w:pos="4201"/>
          <w:tab w:val="right" w:leader="dot" w:pos="9298"/>
        </w:tabs>
        <w:autoSpaceDE w:val="0"/>
        <w:autoSpaceDN w:val="0"/>
        <w:rPr>
          <w:rFonts w:ascii="Times New Roman" w:hAnsi="Times New Roman" w:eastAsia="黑体" w:cs="Times New Roman"/>
          <w:kern w:val="0"/>
          <w:szCs w:val="21"/>
        </w:rPr>
      </w:pPr>
    </w:p>
    <w:p w14:paraId="0D6293E4">
      <w:pPr>
        <w:widowControl/>
        <w:tabs>
          <w:tab w:val="center" w:pos="4201"/>
          <w:tab w:val="right" w:leader="dot" w:pos="9298"/>
        </w:tabs>
        <w:autoSpaceDE w:val="0"/>
        <w:autoSpaceDN w:val="0"/>
        <w:ind w:firstLine="420" w:firstLineChars="200"/>
        <w:rPr>
          <w:rFonts w:ascii="Times New Roman" w:hAnsi="Times New Roman" w:eastAsia="宋体" w:cs="宋体"/>
          <w:kern w:val="0"/>
          <w:szCs w:val="21"/>
        </w:rPr>
      </w:pPr>
      <w:r>
        <w:rPr>
          <w:rFonts w:hint="eastAsia" w:ascii="Times New Roman" w:hAnsi="Times New Roman" w:eastAsia="宋体" w:cs="宋体"/>
          <w:kern w:val="0"/>
          <w:szCs w:val="21"/>
        </w:rPr>
        <w:t>苹果园中的落叶和修剪下的枝条，带出园外进行无害化处理。修剪下的枝条，量大时，经粉碎、堆沤后，作为有机肥还田。废弃的地膜、果袋和农药包装袋等应收集好进行集中处理，减少环境污染。</w:t>
      </w:r>
    </w:p>
    <w:p w14:paraId="0CC42CCD">
      <w:pPr>
        <w:widowControl/>
        <w:tabs>
          <w:tab w:val="center" w:pos="4201"/>
          <w:tab w:val="right" w:leader="dot" w:pos="9298"/>
        </w:tabs>
        <w:autoSpaceDE w:val="0"/>
        <w:autoSpaceDN w:val="0"/>
        <w:rPr>
          <w:rFonts w:hint="eastAsia" w:ascii="黑体" w:hAnsi="黑体" w:eastAsia="黑体" w:cs="Times New Roman"/>
          <w:kern w:val="0"/>
          <w:szCs w:val="21"/>
        </w:rPr>
      </w:pPr>
    </w:p>
    <w:p w14:paraId="592D5F4B">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9   包装、运输及储藏</w:t>
      </w:r>
    </w:p>
    <w:p w14:paraId="3CADA746">
      <w:pPr>
        <w:widowControl/>
        <w:tabs>
          <w:tab w:val="center" w:pos="4201"/>
          <w:tab w:val="right" w:leader="dot" w:pos="9298"/>
        </w:tabs>
        <w:autoSpaceDE w:val="0"/>
        <w:autoSpaceDN w:val="0"/>
        <w:rPr>
          <w:rFonts w:hint="eastAsia" w:ascii="黑体" w:hAnsi="黑体" w:eastAsia="黑体" w:cs="Times New Roman"/>
          <w:kern w:val="0"/>
          <w:szCs w:val="21"/>
        </w:rPr>
      </w:pPr>
    </w:p>
    <w:p w14:paraId="6CF6F8E6">
      <w:pPr>
        <w:ind w:firstLine="420" w:firstLineChars="200"/>
        <w:rPr>
          <w:rFonts w:ascii="Times New Roman" w:hAnsi="Times New Roman" w:eastAsia="宋体" w:cs="宋体"/>
          <w:szCs w:val="21"/>
        </w:rPr>
      </w:pPr>
      <w:r>
        <w:rPr>
          <w:rFonts w:hint="eastAsia" w:ascii="Times New Roman" w:hAnsi="Times New Roman" w:eastAsia="宋体" w:cs="宋体"/>
          <w:color w:val="000000"/>
          <w:szCs w:val="21"/>
        </w:rPr>
        <w:t>包装应符合NY/T 658</w:t>
      </w:r>
      <w:r>
        <w:rPr>
          <w:rFonts w:hint="eastAsia" w:ascii="Times New Roman" w:hAnsi="Times New Roman" w:eastAsia="宋体" w:cs="宋体"/>
          <w:szCs w:val="21"/>
        </w:rPr>
        <w:t>要求，果品储藏、运输应符合NY/T 1056要求。储藏、运输期间不允许使用化学药品保鲜。储藏场所和运输工具要清洁卫生、无异味，禁止与有毒、有异味的物品混放混运。应有专用区域储藏并有明显标识。</w:t>
      </w:r>
    </w:p>
    <w:p w14:paraId="35FF6E2D">
      <w:pPr>
        <w:widowControl/>
        <w:tabs>
          <w:tab w:val="center" w:pos="4201"/>
          <w:tab w:val="right" w:leader="dot" w:pos="9298"/>
        </w:tabs>
        <w:autoSpaceDE w:val="0"/>
        <w:autoSpaceDN w:val="0"/>
        <w:rPr>
          <w:rFonts w:ascii="Times New Roman" w:hAnsi="Times New Roman" w:eastAsia="黑体" w:cs="Times New Roman"/>
          <w:kern w:val="0"/>
          <w:szCs w:val="21"/>
        </w:rPr>
      </w:pPr>
    </w:p>
    <w:p w14:paraId="19D04070">
      <w:pPr>
        <w:widowControl/>
        <w:tabs>
          <w:tab w:val="center" w:pos="4201"/>
          <w:tab w:val="right" w:leader="dot" w:pos="9298"/>
        </w:tabs>
        <w:autoSpaceDE w:val="0"/>
        <w:autoSpaceDN w:val="0"/>
        <w:rPr>
          <w:rFonts w:hint="eastAsia" w:ascii="黑体" w:hAnsi="黑体" w:eastAsia="黑体" w:cs="Times New Roman"/>
          <w:kern w:val="0"/>
          <w:szCs w:val="21"/>
        </w:rPr>
      </w:pPr>
      <w:r>
        <w:rPr>
          <w:rFonts w:hint="eastAsia" w:ascii="黑体" w:hAnsi="黑体" w:eastAsia="黑体" w:cs="Times New Roman"/>
          <w:kern w:val="0"/>
          <w:szCs w:val="21"/>
        </w:rPr>
        <w:t xml:space="preserve">10  </w:t>
      </w:r>
      <w:r>
        <w:rPr>
          <w:rFonts w:ascii="黑体" w:hAnsi="黑体" w:eastAsia="黑体" w:cs="Times New Roman"/>
          <w:kern w:val="0"/>
          <w:szCs w:val="21"/>
        </w:rPr>
        <w:t>生产档案</w:t>
      </w:r>
      <w:r>
        <w:rPr>
          <w:rFonts w:hint="eastAsia" w:ascii="黑体" w:hAnsi="黑体" w:eastAsia="黑体" w:cs="Times New Roman"/>
          <w:kern w:val="0"/>
          <w:szCs w:val="21"/>
        </w:rPr>
        <w:t>管理</w:t>
      </w:r>
    </w:p>
    <w:p w14:paraId="656BBA45">
      <w:pPr>
        <w:widowControl/>
        <w:tabs>
          <w:tab w:val="center" w:pos="4201"/>
          <w:tab w:val="right" w:leader="dot" w:pos="9298"/>
        </w:tabs>
        <w:autoSpaceDE w:val="0"/>
        <w:autoSpaceDN w:val="0"/>
        <w:rPr>
          <w:rFonts w:ascii="Times New Roman" w:hAnsi="Times New Roman" w:eastAsia="黑体" w:cs="Times New Roman"/>
          <w:kern w:val="0"/>
          <w:szCs w:val="21"/>
        </w:rPr>
      </w:pPr>
    </w:p>
    <w:p w14:paraId="6544BB69">
      <w:pPr>
        <w:ind w:firstLine="420" w:firstLineChars="200"/>
        <w:rPr>
          <w:rFonts w:ascii="Times New Roman" w:hAnsi="Times New Roman" w:eastAsia="宋体" w:cs="Times New Roman"/>
        </w:rPr>
      </w:pPr>
      <w:r>
        <w:rPr>
          <w:rFonts w:ascii="Times New Roman" w:hAnsi="Times New Roman" w:eastAsia="宋体" w:cs="Times New Roman"/>
          <w:szCs w:val="21"/>
        </w:rPr>
        <w:t>建立绿色食品</w:t>
      </w:r>
      <w:r>
        <w:rPr>
          <w:rFonts w:hint="eastAsia" w:ascii="Times New Roman" w:hAnsi="Times New Roman" w:eastAsia="宋体" w:cs="Times New Roman"/>
          <w:szCs w:val="21"/>
        </w:rPr>
        <w:t>苹果</w:t>
      </w:r>
      <w:r>
        <w:rPr>
          <w:rFonts w:ascii="Times New Roman" w:hAnsi="Times New Roman" w:eastAsia="宋体" w:cs="Times New Roman"/>
          <w:szCs w:val="21"/>
        </w:rPr>
        <w:t>生产档案。应详细记录产地环境条件、生产技术、肥水管理、病虫害的发生和防治、采收及采后处理等情况并保存记录</w:t>
      </w:r>
      <w:r>
        <w:rPr>
          <w:rFonts w:hint="eastAsia" w:ascii="Times New Roman" w:hAnsi="Times New Roman" w:eastAsia="宋体" w:cs="Times New Roman"/>
          <w:szCs w:val="21"/>
        </w:rPr>
        <w:t>3</w:t>
      </w:r>
      <w:r>
        <w:rPr>
          <w:rFonts w:ascii="Times New Roman" w:hAnsi="Times New Roman" w:eastAsia="宋体" w:cs="Times New Roman"/>
          <w:szCs w:val="21"/>
        </w:rPr>
        <w:t>年</w:t>
      </w:r>
      <w:r>
        <w:rPr>
          <w:rFonts w:hint="eastAsia" w:ascii="Times New Roman" w:hAnsi="Times New Roman" w:eastAsia="宋体" w:cs="Times New Roman"/>
          <w:szCs w:val="21"/>
        </w:rPr>
        <w:t>以上。</w:t>
      </w:r>
    </w:p>
    <w:p w14:paraId="18D6AA3A">
      <w:pPr>
        <w:widowControl/>
        <w:tabs>
          <w:tab w:val="center" w:pos="4201"/>
          <w:tab w:val="right" w:leader="dot" w:pos="9298"/>
        </w:tabs>
        <w:autoSpaceDE w:val="0"/>
        <w:autoSpaceDN w:val="0"/>
        <w:ind w:firstLine="420" w:firstLineChars="200"/>
        <w:rPr>
          <w:rFonts w:ascii="Times New Roman" w:hAnsi="Times New Roman" w:eastAsia="宋体" w:cs="宋体"/>
          <w:kern w:val="0"/>
        </w:rPr>
      </w:pPr>
    </w:p>
    <w:p w14:paraId="520BDEE0">
      <w:pPr>
        <w:widowControl/>
        <w:rPr>
          <w:rFonts w:hint="eastAsia" w:ascii="宋体" w:hAnsi="宋体" w:eastAsia="宋体" w:cs="仿宋"/>
          <w:bCs/>
          <w:szCs w:val="21"/>
        </w:rPr>
      </w:pPr>
    </w:p>
    <w:p w14:paraId="0BFAE074">
      <w:pPr>
        <w:widowControl/>
        <w:rPr>
          <w:rFonts w:hint="eastAsia" w:ascii="宋体" w:hAnsi="宋体" w:eastAsia="宋体" w:cs="仿宋"/>
          <w:bCs/>
          <w:szCs w:val="21"/>
        </w:rPr>
      </w:pPr>
    </w:p>
    <w:p w14:paraId="2AC968BD">
      <w:pPr>
        <w:widowControl/>
        <w:rPr>
          <w:rFonts w:hint="eastAsia" w:ascii="宋体" w:hAnsi="宋体" w:eastAsia="宋体" w:cs="仿宋"/>
          <w:bCs/>
          <w:szCs w:val="21"/>
        </w:rPr>
      </w:pPr>
    </w:p>
    <w:p w14:paraId="72D8FA19">
      <w:pPr>
        <w:widowControl/>
        <w:rPr>
          <w:rFonts w:hint="eastAsia" w:ascii="宋体" w:hAnsi="宋体" w:eastAsia="宋体" w:cs="仿宋"/>
          <w:bCs/>
          <w:szCs w:val="21"/>
        </w:rPr>
      </w:pPr>
    </w:p>
    <w:p w14:paraId="4E365D8C">
      <w:pPr>
        <w:widowControl/>
        <w:rPr>
          <w:rFonts w:hint="eastAsia" w:ascii="宋体" w:hAnsi="宋体" w:eastAsia="宋体" w:cs="仿宋"/>
          <w:bCs/>
          <w:szCs w:val="21"/>
        </w:rPr>
      </w:pPr>
    </w:p>
    <w:p w14:paraId="69C05384">
      <w:pPr>
        <w:widowControl/>
        <w:rPr>
          <w:rFonts w:hint="eastAsia" w:ascii="宋体" w:hAnsi="宋体" w:eastAsia="宋体" w:cs="仿宋"/>
          <w:bCs/>
          <w:szCs w:val="21"/>
        </w:rPr>
      </w:pPr>
    </w:p>
    <w:p w14:paraId="44EE0EF9">
      <w:pPr>
        <w:widowControl/>
        <w:rPr>
          <w:rFonts w:hint="eastAsia" w:ascii="宋体" w:hAnsi="宋体" w:eastAsia="宋体" w:cs="仿宋"/>
          <w:bCs/>
          <w:szCs w:val="21"/>
        </w:rPr>
      </w:pPr>
    </w:p>
    <w:p w14:paraId="3E70A4EE">
      <w:pPr>
        <w:widowControl/>
        <w:rPr>
          <w:rFonts w:hint="eastAsia" w:ascii="宋体" w:hAnsi="宋体" w:eastAsia="宋体" w:cs="仿宋"/>
          <w:bCs/>
          <w:szCs w:val="21"/>
        </w:rPr>
      </w:pPr>
    </w:p>
    <w:p w14:paraId="3AC3D46C">
      <w:pPr>
        <w:widowControl/>
        <w:rPr>
          <w:rFonts w:hint="eastAsia" w:ascii="宋体" w:hAnsi="宋体" w:eastAsia="宋体" w:cs="仿宋"/>
          <w:bCs/>
          <w:szCs w:val="21"/>
        </w:rPr>
      </w:pPr>
    </w:p>
    <w:p w14:paraId="251B12E4">
      <w:pPr>
        <w:widowControl/>
        <w:rPr>
          <w:rFonts w:hint="eastAsia" w:ascii="宋体" w:hAnsi="宋体" w:eastAsia="宋体" w:cs="仿宋"/>
          <w:bCs/>
          <w:szCs w:val="21"/>
        </w:rPr>
      </w:pPr>
    </w:p>
    <w:p w14:paraId="02106B4A">
      <w:pPr>
        <w:widowControl/>
        <w:rPr>
          <w:rFonts w:hint="eastAsia" w:ascii="宋体" w:hAnsi="宋体" w:eastAsia="宋体" w:cs="仿宋"/>
          <w:bCs/>
          <w:szCs w:val="21"/>
        </w:rPr>
      </w:pPr>
    </w:p>
    <w:p w14:paraId="780DEC40">
      <w:pPr>
        <w:jc w:val="center"/>
        <w:rPr>
          <w:rFonts w:hint="eastAsia" w:ascii="黑体" w:hAnsi="黑体" w:eastAsia="黑体"/>
          <w:sz w:val="24"/>
          <w:szCs w:val="24"/>
        </w:rPr>
      </w:pPr>
      <w:r>
        <w:rPr>
          <w:rFonts w:hint="eastAsia" w:ascii="黑体" w:hAnsi="黑体" w:eastAsia="黑体"/>
          <w:sz w:val="24"/>
          <w:szCs w:val="24"/>
        </w:rPr>
        <w:t xml:space="preserve">附 录 A </w:t>
      </w:r>
    </w:p>
    <w:p w14:paraId="492D4404">
      <w:pPr>
        <w:jc w:val="center"/>
        <w:rPr>
          <w:rFonts w:hint="eastAsia" w:ascii="黑体" w:hAnsi="黑体" w:eastAsia="黑体"/>
          <w:sz w:val="24"/>
          <w:szCs w:val="24"/>
        </w:rPr>
      </w:pPr>
      <w:r>
        <w:rPr>
          <w:rFonts w:hint="eastAsia" w:ascii="黑体" w:hAnsi="黑体" w:eastAsia="黑体"/>
          <w:sz w:val="24"/>
          <w:szCs w:val="24"/>
        </w:rPr>
        <w:t>（资料性附录）</w:t>
      </w:r>
    </w:p>
    <w:p w14:paraId="7BF78695">
      <w:pPr>
        <w:widowControl/>
        <w:jc w:val="center"/>
        <w:rPr>
          <w:rFonts w:hint="eastAsia" w:ascii="黑体" w:hAnsi="黑体" w:eastAsia="黑体" w:cs="Times New Roman"/>
          <w:bCs/>
          <w:kern w:val="0"/>
          <w:sz w:val="24"/>
          <w:szCs w:val="24"/>
        </w:rPr>
      </w:pPr>
      <w:r>
        <w:rPr>
          <w:rFonts w:hint="eastAsia" w:ascii="黑体" w:hAnsi="黑体" w:eastAsia="黑体" w:cs="Times New Roman"/>
          <w:bCs/>
          <w:kern w:val="0"/>
          <w:sz w:val="24"/>
          <w:szCs w:val="24"/>
        </w:rPr>
        <w:t>绿色食品 西北黄土高原地区苹果</w:t>
      </w:r>
      <w:r>
        <w:rPr>
          <w:rFonts w:ascii="黑体" w:hAnsi="黑体" w:eastAsia="黑体" w:cs="Times New Roman"/>
          <w:bCs/>
          <w:kern w:val="0"/>
          <w:sz w:val="24"/>
          <w:szCs w:val="24"/>
        </w:rPr>
        <w:t>生产主要病虫害</w:t>
      </w:r>
      <w:r>
        <w:rPr>
          <w:rFonts w:hint="eastAsia" w:ascii="黑体" w:hAnsi="黑体" w:eastAsia="黑体" w:cs="Times New Roman"/>
          <w:bCs/>
          <w:kern w:val="0"/>
          <w:sz w:val="24"/>
          <w:szCs w:val="24"/>
        </w:rPr>
        <w:t>防治推荐农药使用方案</w:t>
      </w:r>
    </w:p>
    <w:p w14:paraId="1438D3CC">
      <w:pPr>
        <w:widowControl/>
        <w:rPr>
          <w:rFonts w:hint="eastAsia" w:ascii="宋体" w:hAnsi="宋体" w:eastAsia="宋体" w:cs="Times New Roman"/>
          <w:bCs/>
          <w:kern w:val="0"/>
          <w:szCs w:val="21"/>
        </w:rPr>
      </w:pPr>
      <w:r>
        <w:rPr>
          <w:rFonts w:hint="eastAsia" w:ascii="宋体" w:hAnsi="宋体" w:eastAsia="宋体" w:cs="Times New Roman"/>
          <w:bCs/>
          <w:kern w:val="0"/>
          <w:szCs w:val="21"/>
        </w:rPr>
        <w:t>表A.1绿色食品 西北黄土高原地区苹果</w:t>
      </w:r>
      <w:r>
        <w:rPr>
          <w:rFonts w:ascii="宋体" w:hAnsi="宋体" w:eastAsia="宋体" w:cs="Times New Roman"/>
          <w:bCs/>
          <w:kern w:val="0"/>
          <w:szCs w:val="21"/>
        </w:rPr>
        <w:t>生产主要病虫害</w:t>
      </w:r>
      <w:r>
        <w:rPr>
          <w:rFonts w:hint="eastAsia" w:ascii="宋体" w:hAnsi="宋体" w:eastAsia="宋体" w:cs="Times New Roman"/>
          <w:bCs/>
          <w:kern w:val="0"/>
          <w:szCs w:val="21"/>
        </w:rPr>
        <w:t>防治推荐农药使用方案</w:t>
      </w:r>
    </w:p>
    <w:p w14:paraId="3FED20CE">
      <w:pPr>
        <w:widowControl/>
        <w:jc w:val="center"/>
        <w:rPr>
          <w:rFonts w:hint="eastAsia" w:ascii="黑体" w:hAnsi="黑体" w:eastAsia="黑体" w:cs="Times New Roman"/>
          <w:bCs/>
          <w:kern w:val="0"/>
          <w:sz w:val="24"/>
          <w:szCs w:val="24"/>
        </w:rPr>
      </w:pPr>
    </w:p>
    <w:p w14:paraId="6525D548">
      <w:pPr>
        <w:widowControl/>
        <w:jc w:val="center"/>
        <w:rPr>
          <w:rFonts w:hint="eastAsia" w:ascii="黑体" w:hAnsi="黑体" w:eastAsia="黑体" w:cs="Times New Roman"/>
          <w:bCs/>
          <w:kern w:val="0"/>
          <w:sz w:val="24"/>
          <w:szCs w:val="24"/>
        </w:rPr>
      </w:pPr>
      <w:r>
        <w:rPr>
          <w:rFonts w:hint="eastAsia" w:ascii="黑体" w:hAnsi="黑体" w:eastAsia="黑体" w:cs="Times New Roman"/>
          <w:bCs/>
          <w:kern w:val="0"/>
          <w:sz w:val="24"/>
          <w:szCs w:val="24"/>
        </w:rPr>
        <w:t>表A.1绿色食品 西北黄土高原地区苹果</w:t>
      </w:r>
      <w:r>
        <w:rPr>
          <w:rFonts w:ascii="黑体" w:hAnsi="黑体" w:eastAsia="黑体" w:cs="Times New Roman"/>
          <w:bCs/>
          <w:kern w:val="0"/>
          <w:sz w:val="24"/>
          <w:szCs w:val="24"/>
        </w:rPr>
        <w:t>生产主要病虫害</w:t>
      </w:r>
      <w:r>
        <w:rPr>
          <w:rFonts w:hint="eastAsia" w:ascii="黑体" w:hAnsi="黑体" w:eastAsia="黑体" w:cs="Times New Roman"/>
          <w:bCs/>
          <w:kern w:val="0"/>
          <w:sz w:val="24"/>
          <w:szCs w:val="24"/>
        </w:rPr>
        <w:t>防治推荐农药使用方案</w:t>
      </w:r>
    </w:p>
    <w:tbl>
      <w:tblPr>
        <w:tblStyle w:val="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701"/>
        <w:gridCol w:w="2835"/>
        <w:gridCol w:w="1985"/>
        <w:gridCol w:w="850"/>
        <w:gridCol w:w="1134"/>
      </w:tblGrid>
      <w:tr w14:paraId="11A9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6EDB79BE">
            <w:pPr>
              <w:spacing w:line="360" w:lineRule="auto"/>
              <w:jc w:val="center"/>
              <w:rPr>
                <w:rFonts w:hint="eastAsia" w:ascii="宋体" w:hAnsi="宋体" w:eastAsia="宋体"/>
                <w:szCs w:val="21"/>
              </w:rPr>
            </w:pPr>
            <w:r>
              <w:rPr>
                <w:rFonts w:ascii="宋体" w:hAnsi="宋体" w:eastAsia="宋体"/>
                <w:szCs w:val="21"/>
              </w:rPr>
              <w:t>防治对象</w:t>
            </w:r>
          </w:p>
        </w:tc>
        <w:tc>
          <w:tcPr>
            <w:tcW w:w="1701" w:type="dxa"/>
            <w:vAlign w:val="center"/>
          </w:tcPr>
          <w:p w14:paraId="74DA5678">
            <w:pPr>
              <w:spacing w:line="360" w:lineRule="auto"/>
              <w:jc w:val="center"/>
              <w:rPr>
                <w:rFonts w:hint="eastAsia" w:ascii="宋体" w:hAnsi="宋体" w:eastAsia="宋体"/>
                <w:szCs w:val="21"/>
              </w:rPr>
            </w:pPr>
            <w:r>
              <w:rPr>
                <w:rFonts w:ascii="宋体" w:hAnsi="宋体" w:eastAsia="宋体"/>
                <w:szCs w:val="21"/>
              </w:rPr>
              <w:t>防治时期</w:t>
            </w:r>
          </w:p>
        </w:tc>
        <w:tc>
          <w:tcPr>
            <w:tcW w:w="2835" w:type="dxa"/>
            <w:vAlign w:val="center"/>
          </w:tcPr>
          <w:p w14:paraId="773441E3">
            <w:pPr>
              <w:spacing w:line="360" w:lineRule="auto"/>
              <w:jc w:val="center"/>
              <w:rPr>
                <w:rFonts w:hint="eastAsia" w:ascii="宋体" w:hAnsi="宋体" w:eastAsia="宋体"/>
                <w:szCs w:val="21"/>
              </w:rPr>
            </w:pPr>
            <w:r>
              <w:rPr>
                <w:rFonts w:ascii="宋体" w:hAnsi="宋体" w:eastAsia="宋体"/>
                <w:szCs w:val="21"/>
              </w:rPr>
              <w:t>农药</w:t>
            </w:r>
            <w:r>
              <w:rPr>
                <w:rFonts w:hint="eastAsia" w:ascii="宋体" w:hAnsi="宋体" w:eastAsia="宋体"/>
                <w:szCs w:val="21"/>
              </w:rPr>
              <w:t>名称</w:t>
            </w:r>
          </w:p>
        </w:tc>
        <w:tc>
          <w:tcPr>
            <w:tcW w:w="1985" w:type="dxa"/>
            <w:vAlign w:val="center"/>
          </w:tcPr>
          <w:p w14:paraId="2AD08AE4">
            <w:pPr>
              <w:spacing w:line="360" w:lineRule="auto"/>
              <w:jc w:val="center"/>
              <w:rPr>
                <w:rFonts w:hint="eastAsia" w:ascii="宋体" w:hAnsi="宋体" w:eastAsia="宋体"/>
                <w:szCs w:val="21"/>
              </w:rPr>
            </w:pPr>
            <w:r>
              <w:rPr>
                <w:rFonts w:ascii="宋体" w:hAnsi="宋体" w:eastAsia="宋体"/>
                <w:szCs w:val="21"/>
              </w:rPr>
              <w:t>使用剂量</w:t>
            </w:r>
          </w:p>
          <w:p w14:paraId="1D6D162F">
            <w:pPr>
              <w:spacing w:line="360" w:lineRule="auto"/>
              <w:jc w:val="center"/>
              <w:rPr>
                <w:rFonts w:hint="eastAsia" w:ascii="宋体" w:hAnsi="宋体" w:eastAsia="宋体"/>
                <w:szCs w:val="21"/>
              </w:rPr>
            </w:pPr>
            <w:r>
              <w:rPr>
                <w:rFonts w:hint="eastAsia" w:ascii="宋体" w:hAnsi="宋体" w:eastAsia="宋体"/>
                <w:szCs w:val="21"/>
              </w:rPr>
              <w:t>（倍液）</w:t>
            </w:r>
          </w:p>
        </w:tc>
        <w:tc>
          <w:tcPr>
            <w:tcW w:w="850" w:type="dxa"/>
            <w:vAlign w:val="center"/>
          </w:tcPr>
          <w:p w14:paraId="6E9ED0B4">
            <w:pPr>
              <w:spacing w:line="360" w:lineRule="auto"/>
              <w:jc w:val="center"/>
              <w:rPr>
                <w:rFonts w:hint="eastAsia" w:ascii="宋体" w:hAnsi="宋体" w:eastAsia="宋体"/>
                <w:szCs w:val="21"/>
              </w:rPr>
            </w:pPr>
            <w:r>
              <w:rPr>
                <w:rFonts w:ascii="宋体" w:hAnsi="宋体" w:eastAsia="宋体"/>
                <w:szCs w:val="21"/>
              </w:rPr>
              <w:t>施药</w:t>
            </w:r>
          </w:p>
          <w:p w14:paraId="7CF8DC3E">
            <w:pPr>
              <w:spacing w:line="360" w:lineRule="auto"/>
              <w:jc w:val="center"/>
              <w:rPr>
                <w:rFonts w:hint="eastAsia" w:ascii="宋体" w:hAnsi="宋体" w:eastAsia="宋体"/>
                <w:szCs w:val="21"/>
              </w:rPr>
            </w:pPr>
            <w:r>
              <w:rPr>
                <w:rFonts w:ascii="宋体" w:hAnsi="宋体" w:eastAsia="宋体"/>
                <w:szCs w:val="21"/>
              </w:rPr>
              <w:t>方法</w:t>
            </w:r>
          </w:p>
        </w:tc>
        <w:tc>
          <w:tcPr>
            <w:tcW w:w="1134" w:type="dxa"/>
            <w:vAlign w:val="center"/>
          </w:tcPr>
          <w:p w14:paraId="5C06C348">
            <w:pPr>
              <w:spacing w:line="360" w:lineRule="auto"/>
              <w:jc w:val="center"/>
              <w:rPr>
                <w:rFonts w:hint="eastAsia" w:ascii="宋体" w:hAnsi="宋体" w:eastAsia="宋体"/>
                <w:szCs w:val="21"/>
              </w:rPr>
            </w:pPr>
            <w:r>
              <w:rPr>
                <w:rFonts w:ascii="宋体" w:hAnsi="宋体" w:eastAsia="宋体"/>
                <w:szCs w:val="21"/>
              </w:rPr>
              <w:t>安全间隔</w:t>
            </w:r>
          </w:p>
          <w:p w14:paraId="3CE0A868">
            <w:pPr>
              <w:spacing w:line="360" w:lineRule="auto"/>
              <w:jc w:val="center"/>
              <w:rPr>
                <w:rFonts w:hint="eastAsia" w:ascii="宋体" w:hAnsi="宋体" w:eastAsia="宋体"/>
                <w:szCs w:val="21"/>
              </w:rPr>
            </w:pPr>
            <w:r>
              <w:rPr>
                <w:rFonts w:hint="eastAsia" w:ascii="宋体" w:hAnsi="宋体" w:eastAsia="宋体"/>
                <w:szCs w:val="21"/>
              </w:rPr>
              <w:t>期</w:t>
            </w:r>
            <w:r>
              <w:rPr>
                <w:rFonts w:ascii="宋体" w:hAnsi="宋体" w:eastAsia="宋体"/>
                <w:szCs w:val="21"/>
              </w:rPr>
              <w:t>天数</w:t>
            </w:r>
          </w:p>
        </w:tc>
      </w:tr>
      <w:tr w14:paraId="219F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14:paraId="2D701FA9">
            <w:pPr>
              <w:spacing w:line="360" w:lineRule="auto"/>
              <w:rPr>
                <w:rFonts w:hint="eastAsia" w:ascii="宋体" w:hAnsi="宋体" w:eastAsia="宋体"/>
                <w:szCs w:val="21"/>
              </w:rPr>
            </w:pPr>
            <w:r>
              <w:rPr>
                <w:rFonts w:hint="eastAsia" w:ascii="宋体" w:hAnsi="宋体" w:eastAsia="宋体"/>
                <w:szCs w:val="21"/>
              </w:rPr>
              <w:t>苹果腐烂病</w:t>
            </w:r>
          </w:p>
        </w:tc>
        <w:tc>
          <w:tcPr>
            <w:tcW w:w="1701" w:type="dxa"/>
            <w:vAlign w:val="center"/>
          </w:tcPr>
          <w:p w14:paraId="417B570F">
            <w:pPr>
              <w:spacing w:line="360" w:lineRule="auto"/>
              <w:rPr>
                <w:rFonts w:hint="eastAsia" w:ascii="宋体" w:hAnsi="宋体" w:eastAsia="宋体"/>
                <w:szCs w:val="21"/>
              </w:rPr>
            </w:pPr>
            <w:r>
              <w:rPr>
                <w:rFonts w:ascii="宋体" w:hAnsi="宋体" w:eastAsia="宋体"/>
                <w:szCs w:val="21"/>
              </w:rPr>
              <w:t>苹果套袋前</w:t>
            </w:r>
          </w:p>
        </w:tc>
        <w:tc>
          <w:tcPr>
            <w:tcW w:w="2835" w:type="dxa"/>
            <w:vAlign w:val="center"/>
          </w:tcPr>
          <w:p w14:paraId="33C7AAEC">
            <w:pPr>
              <w:spacing w:line="360" w:lineRule="auto"/>
              <w:rPr>
                <w:rFonts w:hint="eastAsia" w:ascii="宋体" w:hAnsi="宋体" w:eastAsia="宋体"/>
                <w:szCs w:val="21"/>
              </w:rPr>
            </w:pPr>
            <w:r>
              <w:rPr>
                <w:rFonts w:ascii="宋体" w:hAnsi="宋体" w:eastAsia="宋体"/>
                <w:szCs w:val="21"/>
              </w:rPr>
              <w:t>430克/升</w:t>
            </w:r>
            <w:r>
              <w:rPr>
                <w:rFonts w:hint="eastAsia" w:ascii="宋体" w:hAnsi="宋体" w:eastAsia="宋体"/>
                <w:szCs w:val="21"/>
              </w:rPr>
              <w:t>戊唑醇悬浮剂</w:t>
            </w:r>
          </w:p>
        </w:tc>
        <w:tc>
          <w:tcPr>
            <w:tcW w:w="1985" w:type="dxa"/>
            <w:vAlign w:val="center"/>
          </w:tcPr>
          <w:p w14:paraId="0DF4FCB9">
            <w:pPr>
              <w:spacing w:line="360" w:lineRule="auto"/>
              <w:rPr>
                <w:rFonts w:hint="eastAsia" w:ascii="宋体" w:hAnsi="宋体" w:eastAsia="宋体"/>
                <w:szCs w:val="21"/>
              </w:rPr>
            </w:pPr>
            <w:r>
              <w:rPr>
                <w:rFonts w:hint="eastAsia" w:ascii="宋体" w:hAnsi="宋体" w:eastAsia="宋体"/>
                <w:szCs w:val="21"/>
              </w:rPr>
              <w:t>5000</w:t>
            </w:r>
            <w:r>
              <w:rPr>
                <w:rFonts w:ascii="宋体" w:hAnsi="宋体" w:eastAsia="宋体"/>
                <w:szCs w:val="21"/>
              </w:rPr>
              <w:t>～</w:t>
            </w:r>
            <w:r>
              <w:rPr>
                <w:rFonts w:hint="eastAsia" w:ascii="宋体" w:hAnsi="宋体" w:eastAsia="宋体"/>
                <w:szCs w:val="21"/>
              </w:rPr>
              <w:t>7000倍液</w:t>
            </w:r>
          </w:p>
        </w:tc>
        <w:tc>
          <w:tcPr>
            <w:tcW w:w="850" w:type="dxa"/>
            <w:vAlign w:val="center"/>
          </w:tcPr>
          <w:p w14:paraId="0A9008A5">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52A867B3">
            <w:pPr>
              <w:spacing w:line="360" w:lineRule="auto"/>
              <w:jc w:val="center"/>
              <w:rPr>
                <w:rFonts w:hint="eastAsia" w:ascii="宋体" w:hAnsi="宋体" w:eastAsia="宋体"/>
                <w:szCs w:val="21"/>
              </w:rPr>
            </w:pPr>
            <w:r>
              <w:rPr>
                <w:rFonts w:hint="eastAsia" w:ascii="宋体" w:hAnsi="宋体" w:eastAsia="宋体"/>
                <w:szCs w:val="21"/>
              </w:rPr>
              <w:t>28</w:t>
            </w:r>
          </w:p>
        </w:tc>
      </w:tr>
      <w:tr w14:paraId="51B8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70018A34">
            <w:pPr>
              <w:spacing w:line="360" w:lineRule="auto"/>
              <w:rPr>
                <w:rFonts w:hint="eastAsia" w:ascii="宋体" w:hAnsi="宋体" w:eastAsia="宋体"/>
                <w:szCs w:val="21"/>
              </w:rPr>
            </w:pPr>
          </w:p>
        </w:tc>
        <w:tc>
          <w:tcPr>
            <w:tcW w:w="1701" w:type="dxa"/>
            <w:vAlign w:val="center"/>
          </w:tcPr>
          <w:p w14:paraId="061FF02B">
            <w:pPr>
              <w:spacing w:line="360" w:lineRule="auto"/>
              <w:rPr>
                <w:rFonts w:hint="eastAsia" w:ascii="宋体" w:hAnsi="宋体" w:eastAsia="宋体"/>
                <w:szCs w:val="21"/>
              </w:rPr>
            </w:pPr>
            <w:r>
              <w:rPr>
                <w:rFonts w:ascii="宋体" w:hAnsi="宋体" w:eastAsia="宋体"/>
                <w:szCs w:val="21"/>
              </w:rPr>
              <w:t>发芽前</w:t>
            </w:r>
          </w:p>
        </w:tc>
        <w:tc>
          <w:tcPr>
            <w:tcW w:w="2835" w:type="dxa"/>
            <w:vAlign w:val="center"/>
          </w:tcPr>
          <w:p w14:paraId="124D5E17">
            <w:pPr>
              <w:spacing w:line="360" w:lineRule="auto"/>
              <w:rPr>
                <w:rFonts w:hint="eastAsia" w:ascii="宋体" w:hAnsi="宋体" w:eastAsia="宋体"/>
                <w:szCs w:val="21"/>
              </w:rPr>
            </w:pPr>
            <w:r>
              <w:rPr>
                <w:rFonts w:hint="eastAsia" w:ascii="宋体" w:hAnsi="宋体" w:eastAsia="宋体"/>
                <w:szCs w:val="21"/>
              </w:rPr>
              <w:t>35%丙唑•多菌灵悬乳剂</w:t>
            </w:r>
          </w:p>
        </w:tc>
        <w:tc>
          <w:tcPr>
            <w:tcW w:w="1985" w:type="dxa"/>
            <w:vAlign w:val="center"/>
          </w:tcPr>
          <w:p w14:paraId="3D1F623C">
            <w:pPr>
              <w:spacing w:line="360" w:lineRule="auto"/>
              <w:rPr>
                <w:rFonts w:hint="eastAsia" w:ascii="宋体" w:hAnsi="宋体" w:eastAsia="宋体"/>
                <w:szCs w:val="21"/>
              </w:rPr>
            </w:pPr>
            <w:r>
              <w:rPr>
                <w:rFonts w:hint="eastAsia" w:ascii="宋体" w:hAnsi="宋体" w:eastAsia="宋体"/>
                <w:szCs w:val="21"/>
              </w:rPr>
              <w:t>600</w:t>
            </w:r>
            <w:r>
              <w:rPr>
                <w:rFonts w:ascii="宋体" w:hAnsi="宋体" w:eastAsia="宋体"/>
                <w:szCs w:val="21"/>
              </w:rPr>
              <w:t>～</w:t>
            </w:r>
            <w:r>
              <w:rPr>
                <w:rFonts w:hint="eastAsia" w:ascii="宋体" w:hAnsi="宋体" w:eastAsia="宋体"/>
                <w:szCs w:val="21"/>
              </w:rPr>
              <w:t>700</w:t>
            </w:r>
            <w:r>
              <w:rPr>
                <w:rFonts w:ascii="宋体" w:hAnsi="宋体" w:eastAsia="宋体"/>
                <w:szCs w:val="21"/>
              </w:rPr>
              <w:t>倍液</w:t>
            </w:r>
          </w:p>
        </w:tc>
        <w:tc>
          <w:tcPr>
            <w:tcW w:w="850" w:type="dxa"/>
            <w:vAlign w:val="center"/>
          </w:tcPr>
          <w:p w14:paraId="78087561">
            <w:pPr>
              <w:spacing w:line="360" w:lineRule="auto"/>
              <w:rPr>
                <w:rFonts w:hint="eastAsia" w:ascii="宋体" w:hAnsi="宋体" w:eastAsia="宋体"/>
                <w:szCs w:val="21"/>
              </w:rPr>
            </w:pPr>
            <w:r>
              <w:rPr>
                <w:rFonts w:hint="eastAsia" w:ascii="宋体" w:hAnsi="宋体" w:eastAsia="宋体"/>
                <w:szCs w:val="21"/>
              </w:rPr>
              <w:t>涂抹</w:t>
            </w:r>
          </w:p>
        </w:tc>
        <w:tc>
          <w:tcPr>
            <w:tcW w:w="1134" w:type="dxa"/>
            <w:vAlign w:val="center"/>
          </w:tcPr>
          <w:p w14:paraId="778C056B">
            <w:pPr>
              <w:spacing w:line="360" w:lineRule="auto"/>
              <w:jc w:val="center"/>
              <w:rPr>
                <w:rFonts w:hint="eastAsia" w:ascii="宋体" w:hAnsi="宋体" w:eastAsia="宋体"/>
                <w:szCs w:val="21"/>
              </w:rPr>
            </w:pPr>
            <w:r>
              <w:rPr>
                <w:rFonts w:hint="eastAsia" w:ascii="宋体" w:hAnsi="宋体" w:eastAsia="宋体"/>
                <w:szCs w:val="21"/>
              </w:rPr>
              <w:t>30</w:t>
            </w:r>
          </w:p>
        </w:tc>
      </w:tr>
      <w:tr w14:paraId="30FA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14:paraId="395F75FF">
            <w:pPr>
              <w:spacing w:line="360" w:lineRule="auto"/>
              <w:rPr>
                <w:rFonts w:hint="eastAsia" w:ascii="宋体" w:hAnsi="宋体" w:eastAsia="宋体"/>
                <w:szCs w:val="21"/>
              </w:rPr>
            </w:pPr>
            <w:r>
              <w:rPr>
                <w:rFonts w:hint="eastAsia" w:ascii="宋体" w:hAnsi="宋体" w:eastAsia="宋体"/>
                <w:szCs w:val="21"/>
              </w:rPr>
              <w:t>早期落叶病</w:t>
            </w:r>
          </w:p>
        </w:tc>
        <w:tc>
          <w:tcPr>
            <w:tcW w:w="1701" w:type="dxa"/>
            <w:vMerge w:val="restart"/>
            <w:vAlign w:val="center"/>
          </w:tcPr>
          <w:p w14:paraId="1E3E9A18">
            <w:pPr>
              <w:spacing w:line="360" w:lineRule="auto"/>
              <w:rPr>
                <w:rFonts w:hint="eastAsia" w:ascii="宋体" w:hAnsi="宋体" w:eastAsia="宋体"/>
                <w:szCs w:val="21"/>
              </w:rPr>
            </w:pPr>
            <w:r>
              <w:rPr>
                <w:rFonts w:hint="eastAsia" w:ascii="宋体" w:hAnsi="宋体" w:eastAsia="宋体"/>
                <w:szCs w:val="21"/>
              </w:rPr>
              <w:t>5月上中旬</w:t>
            </w:r>
          </w:p>
        </w:tc>
        <w:tc>
          <w:tcPr>
            <w:tcW w:w="2835" w:type="dxa"/>
            <w:vAlign w:val="center"/>
          </w:tcPr>
          <w:p w14:paraId="62AA581E">
            <w:pPr>
              <w:spacing w:line="360" w:lineRule="auto"/>
              <w:rPr>
                <w:rFonts w:hint="eastAsia" w:ascii="宋体" w:hAnsi="宋体" w:eastAsia="宋体"/>
                <w:szCs w:val="21"/>
              </w:rPr>
            </w:pPr>
            <w:r>
              <w:rPr>
                <w:rFonts w:hint="eastAsia" w:ascii="宋体" w:hAnsi="宋体" w:eastAsia="宋体"/>
                <w:szCs w:val="21"/>
              </w:rPr>
              <w:t>80%代森锰锌可湿性粉剂</w:t>
            </w:r>
          </w:p>
        </w:tc>
        <w:tc>
          <w:tcPr>
            <w:tcW w:w="1985" w:type="dxa"/>
            <w:vAlign w:val="center"/>
          </w:tcPr>
          <w:p w14:paraId="3C036917">
            <w:pPr>
              <w:spacing w:line="360" w:lineRule="auto"/>
              <w:rPr>
                <w:rFonts w:hint="eastAsia" w:ascii="宋体" w:hAnsi="宋体" w:eastAsia="宋体"/>
                <w:szCs w:val="21"/>
              </w:rPr>
            </w:pPr>
            <w:r>
              <w:rPr>
                <w:rFonts w:hint="eastAsia" w:ascii="宋体" w:hAnsi="宋体" w:eastAsia="宋体"/>
                <w:szCs w:val="21"/>
              </w:rPr>
              <w:t>500</w:t>
            </w:r>
            <w:r>
              <w:rPr>
                <w:rFonts w:ascii="宋体" w:hAnsi="宋体" w:eastAsia="宋体"/>
                <w:szCs w:val="21"/>
              </w:rPr>
              <w:t>～</w:t>
            </w:r>
            <w:r>
              <w:rPr>
                <w:rFonts w:hint="eastAsia" w:ascii="宋体" w:hAnsi="宋体" w:eastAsia="宋体"/>
                <w:szCs w:val="21"/>
              </w:rPr>
              <w:t>800倍液</w:t>
            </w:r>
          </w:p>
        </w:tc>
        <w:tc>
          <w:tcPr>
            <w:tcW w:w="850" w:type="dxa"/>
            <w:vAlign w:val="center"/>
          </w:tcPr>
          <w:p w14:paraId="69E36A4D">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5471E8BC">
            <w:pPr>
              <w:spacing w:line="360" w:lineRule="auto"/>
              <w:jc w:val="center"/>
              <w:rPr>
                <w:rFonts w:hint="eastAsia" w:ascii="宋体" w:hAnsi="宋体" w:eastAsia="宋体"/>
                <w:szCs w:val="21"/>
              </w:rPr>
            </w:pPr>
            <w:r>
              <w:rPr>
                <w:rFonts w:hint="eastAsia" w:ascii="宋体" w:hAnsi="宋体" w:eastAsia="宋体"/>
                <w:szCs w:val="21"/>
              </w:rPr>
              <w:t>10</w:t>
            </w:r>
          </w:p>
        </w:tc>
      </w:tr>
      <w:tr w14:paraId="6F0A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0CD6AEED">
            <w:pPr>
              <w:spacing w:line="360" w:lineRule="auto"/>
              <w:rPr>
                <w:rFonts w:hint="eastAsia" w:ascii="宋体" w:hAnsi="宋体" w:eastAsia="宋体"/>
                <w:szCs w:val="21"/>
              </w:rPr>
            </w:pPr>
          </w:p>
        </w:tc>
        <w:tc>
          <w:tcPr>
            <w:tcW w:w="1701" w:type="dxa"/>
            <w:vMerge w:val="continue"/>
            <w:vAlign w:val="center"/>
          </w:tcPr>
          <w:p w14:paraId="23017093">
            <w:pPr>
              <w:spacing w:line="360" w:lineRule="auto"/>
              <w:rPr>
                <w:rFonts w:hint="eastAsia" w:ascii="宋体" w:hAnsi="宋体" w:eastAsia="宋体"/>
                <w:szCs w:val="21"/>
              </w:rPr>
            </w:pPr>
          </w:p>
        </w:tc>
        <w:tc>
          <w:tcPr>
            <w:tcW w:w="2835" w:type="dxa"/>
            <w:vAlign w:val="center"/>
          </w:tcPr>
          <w:p w14:paraId="09486CE8">
            <w:pPr>
              <w:spacing w:line="360" w:lineRule="auto"/>
              <w:rPr>
                <w:rFonts w:hint="eastAsia" w:ascii="宋体" w:hAnsi="宋体" w:eastAsia="宋体"/>
                <w:szCs w:val="21"/>
              </w:rPr>
            </w:pPr>
            <w:r>
              <w:rPr>
                <w:rFonts w:ascii="宋体" w:hAnsi="宋体" w:eastAsia="宋体"/>
                <w:szCs w:val="21"/>
              </w:rPr>
              <w:t>430克/升</w:t>
            </w:r>
            <w:r>
              <w:rPr>
                <w:rFonts w:hint="eastAsia" w:ascii="宋体" w:hAnsi="宋体" w:eastAsia="宋体"/>
                <w:szCs w:val="21"/>
              </w:rPr>
              <w:t>戊唑醇</w:t>
            </w:r>
          </w:p>
        </w:tc>
        <w:tc>
          <w:tcPr>
            <w:tcW w:w="1985" w:type="dxa"/>
            <w:vAlign w:val="center"/>
          </w:tcPr>
          <w:p w14:paraId="3A86A7EB">
            <w:pPr>
              <w:spacing w:line="360" w:lineRule="auto"/>
              <w:rPr>
                <w:rFonts w:hint="eastAsia" w:ascii="宋体" w:hAnsi="宋体" w:eastAsia="宋体"/>
                <w:szCs w:val="21"/>
              </w:rPr>
            </w:pPr>
            <w:r>
              <w:rPr>
                <w:rFonts w:hint="eastAsia" w:ascii="宋体" w:hAnsi="宋体" w:eastAsia="宋体"/>
                <w:szCs w:val="21"/>
              </w:rPr>
              <w:t>5000</w:t>
            </w:r>
            <w:r>
              <w:rPr>
                <w:rFonts w:ascii="宋体" w:hAnsi="宋体" w:eastAsia="宋体"/>
                <w:szCs w:val="21"/>
              </w:rPr>
              <w:t>～</w:t>
            </w:r>
            <w:r>
              <w:rPr>
                <w:rFonts w:hint="eastAsia" w:ascii="宋体" w:hAnsi="宋体" w:eastAsia="宋体"/>
                <w:szCs w:val="21"/>
              </w:rPr>
              <w:t>7000倍液</w:t>
            </w:r>
          </w:p>
        </w:tc>
        <w:tc>
          <w:tcPr>
            <w:tcW w:w="850" w:type="dxa"/>
            <w:vAlign w:val="center"/>
          </w:tcPr>
          <w:p w14:paraId="5AE4BF95">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14968F79">
            <w:pPr>
              <w:spacing w:line="360" w:lineRule="auto"/>
              <w:jc w:val="center"/>
              <w:rPr>
                <w:rFonts w:hint="eastAsia" w:ascii="宋体" w:hAnsi="宋体" w:eastAsia="宋体"/>
                <w:szCs w:val="21"/>
              </w:rPr>
            </w:pPr>
            <w:r>
              <w:rPr>
                <w:rFonts w:hint="eastAsia" w:ascii="宋体" w:hAnsi="宋体" w:eastAsia="宋体"/>
                <w:szCs w:val="21"/>
              </w:rPr>
              <w:t>28</w:t>
            </w:r>
          </w:p>
        </w:tc>
      </w:tr>
      <w:tr w14:paraId="3A69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0C9B31C8">
            <w:pPr>
              <w:spacing w:line="360" w:lineRule="auto"/>
              <w:rPr>
                <w:rFonts w:hint="eastAsia" w:ascii="宋体" w:hAnsi="宋体" w:eastAsia="宋体"/>
                <w:szCs w:val="21"/>
              </w:rPr>
            </w:pPr>
          </w:p>
        </w:tc>
        <w:tc>
          <w:tcPr>
            <w:tcW w:w="1701" w:type="dxa"/>
            <w:vMerge w:val="continue"/>
            <w:vAlign w:val="center"/>
          </w:tcPr>
          <w:p w14:paraId="38D18C77">
            <w:pPr>
              <w:spacing w:line="360" w:lineRule="auto"/>
              <w:rPr>
                <w:rFonts w:hint="eastAsia" w:ascii="宋体" w:hAnsi="宋体" w:eastAsia="宋体"/>
                <w:szCs w:val="21"/>
              </w:rPr>
            </w:pPr>
          </w:p>
        </w:tc>
        <w:tc>
          <w:tcPr>
            <w:tcW w:w="2835" w:type="dxa"/>
            <w:vAlign w:val="center"/>
          </w:tcPr>
          <w:p w14:paraId="5A067DA8">
            <w:pPr>
              <w:spacing w:line="360" w:lineRule="auto"/>
              <w:rPr>
                <w:rFonts w:hint="eastAsia" w:ascii="宋体" w:hAnsi="宋体" w:eastAsia="宋体"/>
                <w:szCs w:val="21"/>
              </w:rPr>
            </w:pPr>
            <w:r>
              <w:rPr>
                <w:rFonts w:ascii="宋体" w:hAnsi="宋体" w:eastAsia="宋体"/>
                <w:szCs w:val="21"/>
              </w:rPr>
              <w:t>80%</w:t>
            </w:r>
            <w:r>
              <w:rPr>
                <w:rFonts w:hint="eastAsia" w:ascii="宋体" w:hAnsi="宋体" w:eastAsia="宋体"/>
                <w:szCs w:val="21"/>
              </w:rPr>
              <w:t>醚菌酯水分散粒剂</w:t>
            </w:r>
          </w:p>
        </w:tc>
        <w:tc>
          <w:tcPr>
            <w:tcW w:w="1985" w:type="dxa"/>
            <w:vAlign w:val="center"/>
          </w:tcPr>
          <w:p w14:paraId="460F7A5C">
            <w:pPr>
              <w:spacing w:line="360" w:lineRule="auto"/>
              <w:rPr>
                <w:rFonts w:hint="eastAsia" w:ascii="宋体" w:hAnsi="宋体" w:eastAsia="宋体"/>
                <w:szCs w:val="21"/>
              </w:rPr>
            </w:pPr>
            <w:r>
              <w:rPr>
                <w:rFonts w:ascii="宋体" w:hAnsi="宋体" w:eastAsia="宋体"/>
                <w:szCs w:val="21"/>
              </w:rPr>
              <w:t>5000～6000倍</w:t>
            </w:r>
          </w:p>
        </w:tc>
        <w:tc>
          <w:tcPr>
            <w:tcW w:w="850" w:type="dxa"/>
            <w:vAlign w:val="center"/>
          </w:tcPr>
          <w:p w14:paraId="5AD5FD94">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5E6DEEA8">
            <w:pPr>
              <w:spacing w:line="360" w:lineRule="auto"/>
              <w:jc w:val="center"/>
              <w:rPr>
                <w:rFonts w:hint="eastAsia" w:ascii="宋体" w:hAnsi="宋体" w:eastAsia="宋体"/>
                <w:szCs w:val="21"/>
              </w:rPr>
            </w:pPr>
            <w:r>
              <w:rPr>
                <w:rFonts w:ascii="宋体" w:hAnsi="宋体" w:eastAsia="宋体"/>
                <w:szCs w:val="21"/>
              </w:rPr>
              <w:t>21</w:t>
            </w:r>
          </w:p>
        </w:tc>
      </w:tr>
      <w:tr w14:paraId="12E7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7C47246A">
            <w:pPr>
              <w:spacing w:line="360" w:lineRule="auto"/>
              <w:rPr>
                <w:rFonts w:hint="eastAsia" w:ascii="宋体" w:hAnsi="宋体" w:eastAsia="宋体"/>
                <w:szCs w:val="21"/>
              </w:rPr>
            </w:pPr>
          </w:p>
        </w:tc>
        <w:tc>
          <w:tcPr>
            <w:tcW w:w="1701" w:type="dxa"/>
            <w:vMerge w:val="continue"/>
            <w:vAlign w:val="center"/>
          </w:tcPr>
          <w:p w14:paraId="504CE15B">
            <w:pPr>
              <w:spacing w:line="360" w:lineRule="auto"/>
              <w:rPr>
                <w:rFonts w:hint="eastAsia" w:ascii="宋体" w:hAnsi="宋体" w:eastAsia="宋体"/>
                <w:szCs w:val="21"/>
              </w:rPr>
            </w:pPr>
          </w:p>
        </w:tc>
        <w:tc>
          <w:tcPr>
            <w:tcW w:w="2835" w:type="dxa"/>
            <w:vAlign w:val="center"/>
          </w:tcPr>
          <w:p w14:paraId="306E3ACC">
            <w:pPr>
              <w:spacing w:line="360" w:lineRule="auto"/>
              <w:rPr>
                <w:rFonts w:hint="eastAsia" w:ascii="宋体" w:hAnsi="宋体" w:eastAsia="宋体"/>
                <w:szCs w:val="21"/>
              </w:rPr>
            </w:pPr>
            <w:r>
              <w:rPr>
                <w:rFonts w:ascii="宋体" w:hAnsi="宋体" w:eastAsia="宋体"/>
                <w:szCs w:val="21"/>
              </w:rPr>
              <w:t>500克/升</w:t>
            </w:r>
            <w:r>
              <w:rPr>
                <w:rFonts w:hint="eastAsia" w:ascii="宋体" w:hAnsi="宋体" w:eastAsia="宋体"/>
                <w:szCs w:val="21"/>
              </w:rPr>
              <w:t>异菌脲悬浮剂</w:t>
            </w:r>
          </w:p>
        </w:tc>
        <w:tc>
          <w:tcPr>
            <w:tcW w:w="1985" w:type="dxa"/>
            <w:vAlign w:val="center"/>
          </w:tcPr>
          <w:p w14:paraId="0FD27CAE">
            <w:pPr>
              <w:spacing w:line="360" w:lineRule="auto"/>
              <w:rPr>
                <w:rFonts w:hint="eastAsia" w:ascii="宋体" w:hAnsi="宋体" w:eastAsia="宋体"/>
                <w:szCs w:val="21"/>
              </w:rPr>
            </w:pPr>
            <w:r>
              <w:rPr>
                <w:rFonts w:ascii="宋体" w:hAnsi="宋体" w:eastAsia="宋体"/>
                <w:szCs w:val="21"/>
              </w:rPr>
              <w:t>1000～2000倍液</w:t>
            </w:r>
          </w:p>
        </w:tc>
        <w:tc>
          <w:tcPr>
            <w:tcW w:w="850" w:type="dxa"/>
            <w:vAlign w:val="center"/>
          </w:tcPr>
          <w:p w14:paraId="1905C727">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0DB5CF87">
            <w:pPr>
              <w:spacing w:line="360" w:lineRule="auto"/>
              <w:jc w:val="center"/>
              <w:rPr>
                <w:rFonts w:hint="eastAsia" w:ascii="宋体" w:hAnsi="宋体" w:eastAsia="宋体"/>
                <w:szCs w:val="21"/>
              </w:rPr>
            </w:pPr>
            <w:r>
              <w:rPr>
                <w:rFonts w:hint="eastAsia" w:ascii="宋体" w:hAnsi="宋体" w:eastAsia="宋体"/>
                <w:szCs w:val="21"/>
              </w:rPr>
              <w:t>7</w:t>
            </w:r>
          </w:p>
        </w:tc>
      </w:tr>
      <w:tr w14:paraId="0A65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4B0B99D0">
            <w:pPr>
              <w:spacing w:line="360" w:lineRule="auto"/>
              <w:rPr>
                <w:rFonts w:hint="eastAsia" w:ascii="宋体" w:hAnsi="宋体" w:eastAsia="宋体"/>
                <w:szCs w:val="21"/>
              </w:rPr>
            </w:pPr>
          </w:p>
        </w:tc>
        <w:tc>
          <w:tcPr>
            <w:tcW w:w="1701" w:type="dxa"/>
            <w:vMerge w:val="continue"/>
            <w:vAlign w:val="center"/>
          </w:tcPr>
          <w:p w14:paraId="17189190">
            <w:pPr>
              <w:spacing w:line="360" w:lineRule="auto"/>
              <w:rPr>
                <w:rFonts w:hint="eastAsia" w:ascii="宋体" w:hAnsi="宋体" w:eastAsia="宋体"/>
                <w:szCs w:val="21"/>
              </w:rPr>
            </w:pPr>
          </w:p>
        </w:tc>
        <w:tc>
          <w:tcPr>
            <w:tcW w:w="2835" w:type="dxa"/>
            <w:vAlign w:val="center"/>
          </w:tcPr>
          <w:p w14:paraId="2495025A">
            <w:pPr>
              <w:spacing w:line="360" w:lineRule="auto"/>
              <w:rPr>
                <w:rFonts w:hint="eastAsia" w:ascii="宋体" w:hAnsi="宋体" w:eastAsia="宋体"/>
                <w:szCs w:val="21"/>
              </w:rPr>
            </w:pPr>
            <w:r>
              <w:rPr>
                <w:rFonts w:hint="eastAsia" w:ascii="宋体" w:hAnsi="宋体" w:eastAsia="宋体"/>
                <w:szCs w:val="21"/>
              </w:rPr>
              <w:t>10%多抗霉素可湿性粉剂</w:t>
            </w:r>
          </w:p>
        </w:tc>
        <w:tc>
          <w:tcPr>
            <w:tcW w:w="1985" w:type="dxa"/>
            <w:vAlign w:val="center"/>
          </w:tcPr>
          <w:p w14:paraId="038803A7">
            <w:pPr>
              <w:spacing w:line="360" w:lineRule="auto"/>
              <w:rPr>
                <w:rFonts w:hint="eastAsia" w:ascii="宋体" w:hAnsi="宋体" w:eastAsia="宋体"/>
                <w:szCs w:val="21"/>
              </w:rPr>
            </w:pPr>
            <w:r>
              <w:rPr>
                <w:rFonts w:ascii="宋体" w:hAnsi="宋体" w:eastAsia="宋体"/>
                <w:szCs w:val="21"/>
              </w:rPr>
              <w:t>1000～</w:t>
            </w:r>
            <w:r>
              <w:rPr>
                <w:rFonts w:hint="eastAsia" w:ascii="宋体" w:hAnsi="宋体" w:eastAsia="宋体"/>
                <w:szCs w:val="21"/>
              </w:rPr>
              <w:t>15</w:t>
            </w:r>
            <w:r>
              <w:rPr>
                <w:rFonts w:ascii="宋体" w:hAnsi="宋体" w:eastAsia="宋体"/>
                <w:szCs w:val="21"/>
              </w:rPr>
              <w:t>00倍液</w:t>
            </w:r>
          </w:p>
        </w:tc>
        <w:tc>
          <w:tcPr>
            <w:tcW w:w="850" w:type="dxa"/>
            <w:vAlign w:val="center"/>
          </w:tcPr>
          <w:p w14:paraId="1400BFB0">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7BC6883E">
            <w:pPr>
              <w:spacing w:line="360" w:lineRule="auto"/>
              <w:jc w:val="center"/>
              <w:rPr>
                <w:rFonts w:hint="eastAsia" w:ascii="宋体" w:hAnsi="宋体" w:eastAsia="宋体"/>
                <w:szCs w:val="21"/>
              </w:rPr>
            </w:pPr>
            <w:r>
              <w:rPr>
                <w:rFonts w:hint="eastAsia" w:ascii="宋体" w:hAnsi="宋体" w:eastAsia="宋体"/>
                <w:szCs w:val="21"/>
              </w:rPr>
              <w:t>14</w:t>
            </w:r>
          </w:p>
        </w:tc>
      </w:tr>
      <w:tr w14:paraId="718A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7AA03A13">
            <w:pPr>
              <w:spacing w:line="360" w:lineRule="auto"/>
              <w:rPr>
                <w:rFonts w:hint="eastAsia" w:ascii="宋体" w:hAnsi="宋体" w:eastAsia="宋体"/>
                <w:szCs w:val="21"/>
              </w:rPr>
            </w:pPr>
          </w:p>
        </w:tc>
        <w:tc>
          <w:tcPr>
            <w:tcW w:w="1701" w:type="dxa"/>
            <w:vMerge w:val="continue"/>
            <w:vAlign w:val="center"/>
          </w:tcPr>
          <w:p w14:paraId="6FE0EBED">
            <w:pPr>
              <w:spacing w:line="360" w:lineRule="auto"/>
              <w:rPr>
                <w:rFonts w:hint="eastAsia" w:ascii="宋体" w:hAnsi="宋体" w:eastAsia="宋体"/>
                <w:szCs w:val="21"/>
              </w:rPr>
            </w:pPr>
          </w:p>
        </w:tc>
        <w:tc>
          <w:tcPr>
            <w:tcW w:w="2835" w:type="dxa"/>
            <w:vAlign w:val="center"/>
          </w:tcPr>
          <w:p w14:paraId="22C7DB36">
            <w:pPr>
              <w:spacing w:line="360" w:lineRule="auto"/>
              <w:rPr>
                <w:rFonts w:hint="eastAsia" w:ascii="宋体" w:hAnsi="宋体" w:eastAsia="宋体"/>
                <w:szCs w:val="21"/>
              </w:rPr>
            </w:pPr>
            <w:r>
              <w:rPr>
                <w:rFonts w:hint="eastAsia" w:ascii="宋体" w:hAnsi="宋体" w:eastAsia="宋体"/>
                <w:szCs w:val="21"/>
              </w:rPr>
              <w:t>3%</w:t>
            </w:r>
            <w:r>
              <w:rPr>
                <w:rFonts w:ascii="宋体" w:hAnsi="宋体" w:eastAsia="宋体"/>
                <w:szCs w:val="21"/>
              </w:rPr>
              <w:t>多抗·中生菌</w:t>
            </w:r>
            <w:r>
              <w:rPr>
                <w:rFonts w:hint="eastAsia" w:ascii="宋体" w:hAnsi="宋体" w:eastAsia="宋体"/>
                <w:szCs w:val="21"/>
              </w:rPr>
              <w:t>可湿性粉剂</w:t>
            </w:r>
          </w:p>
        </w:tc>
        <w:tc>
          <w:tcPr>
            <w:tcW w:w="1985" w:type="dxa"/>
            <w:vAlign w:val="center"/>
          </w:tcPr>
          <w:p w14:paraId="683160AF">
            <w:pPr>
              <w:spacing w:line="360" w:lineRule="auto"/>
              <w:rPr>
                <w:rFonts w:hint="eastAsia" w:ascii="宋体" w:hAnsi="宋体" w:eastAsia="宋体"/>
                <w:szCs w:val="21"/>
              </w:rPr>
            </w:pPr>
            <w:r>
              <w:rPr>
                <w:rFonts w:hint="eastAsia" w:ascii="宋体" w:hAnsi="宋体" w:eastAsia="宋体"/>
                <w:szCs w:val="21"/>
              </w:rPr>
              <w:t>5</w:t>
            </w:r>
            <w:r>
              <w:rPr>
                <w:rFonts w:ascii="宋体" w:hAnsi="宋体" w:eastAsia="宋体"/>
                <w:szCs w:val="21"/>
              </w:rPr>
              <w:t>00～</w:t>
            </w:r>
            <w:r>
              <w:rPr>
                <w:rFonts w:hint="eastAsia" w:ascii="宋体" w:hAnsi="宋体" w:eastAsia="宋体"/>
                <w:szCs w:val="21"/>
              </w:rPr>
              <w:t>75</w:t>
            </w:r>
            <w:r>
              <w:rPr>
                <w:rFonts w:ascii="宋体" w:hAnsi="宋体" w:eastAsia="宋体"/>
                <w:szCs w:val="21"/>
              </w:rPr>
              <w:t>0倍液</w:t>
            </w:r>
          </w:p>
        </w:tc>
        <w:tc>
          <w:tcPr>
            <w:tcW w:w="850" w:type="dxa"/>
            <w:vAlign w:val="center"/>
          </w:tcPr>
          <w:p w14:paraId="49571102">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2C346819">
            <w:pPr>
              <w:spacing w:line="360" w:lineRule="auto"/>
              <w:jc w:val="center"/>
              <w:rPr>
                <w:rFonts w:hint="eastAsia" w:ascii="宋体" w:hAnsi="宋体" w:eastAsia="宋体"/>
                <w:szCs w:val="21"/>
              </w:rPr>
            </w:pPr>
            <w:r>
              <w:rPr>
                <w:rFonts w:hint="eastAsia" w:ascii="宋体" w:hAnsi="宋体" w:eastAsia="宋体"/>
                <w:szCs w:val="21"/>
              </w:rPr>
              <w:t>7</w:t>
            </w:r>
          </w:p>
        </w:tc>
      </w:tr>
      <w:tr w14:paraId="59B2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62288CC3">
            <w:pPr>
              <w:spacing w:line="360" w:lineRule="auto"/>
              <w:rPr>
                <w:rFonts w:hint="eastAsia" w:ascii="宋体" w:hAnsi="宋体" w:eastAsia="宋体"/>
                <w:szCs w:val="21"/>
              </w:rPr>
            </w:pPr>
            <w:r>
              <w:rPr>
                <w:rFonts w:hint="eastAsia" w:ascii="宋体" w:hAnsi="宋体" w:eastAsia="宋体"/>
                <w:szCs w:val="21"/>
              </w:rPr>
              <w:t>锈病</w:t>
            </w:r>
          </w:p>
        </w:tc>
        <w:tc>
          <w:tcPr>
            <w:tcW w:w="1701" w:type="dxa"/>
            <w:vAlign w:val="center"/>
          </w:tcPr>
          <w:p w14:paraId="48ACFD11">
            <w:pPr>
              <w:spacing w:line="360" w:lineRule="auto"/>
              <w:rPr>
                <w:rFonts w:hint="eastAsia" w:ascii="宋体" w:hAnsi="宋体" w:eastAsia="宋体"/>
                <w:szCs w:val="21"/>
              </w:rPr>
            </w:pPr>
            <w:r>
              <w:rPr>
                <w:rFonts w:hint="eastAsia" w:ascii="宋体" w:hAnsi="宋体" w:eastAsia="宋体"/>
                <w:szCs w:val="21"/>
              </w:rPr>
              <w:t>发病初期</w:t>
            </w:r>
          </w:p>
        </w:tc>
        <w:tc>
          <w:tcPr>
            <w:tcW w:w="2835" w:type="dxa"/>
            <w:vAlign w:val="center"/>
          </w:tcPr>
          <w:p w14:paraId="2F75420E">
            <w:pPr>
              <w:spacing w:line="360" w:lineRule="auto"/>
              <w:rPr>
                <w:rFonts w:hint="eastAsia" w:ascii="宋体" w:hAnsi="宋体" w:eastAsia="宋体"/>
                <w:szCs w:val="21"/>
              </w:rPr>
            </w:pPr>
            <w:r>
              <w:rPr>
                <w:rFonts w:hint="eastAsia" w:ascii="宋体" w:hAnsi="宋体" w:eastAsia="宋体"/>
                <w:szCs w:val="21"/>
              </w:rPr>
              <w:t>30%唑醚·戊唑醇悬浮剂</w:t>
            </w:r>
          </w:p>
        </w:tc>
        <w:tc>
          <w:tcPr>
            <w:tcW w:w="1985" w:type="dxa"/>
            <w:vAlign w:val="center"/>
          </w:tcPr>
          <w:p w14:paraId="4073D480">
            <w:pPr>
              <w:spacing w:line="360" w:lineRule="auto"/>
              <w:rPr>
                <w:rFonts w:hint="eastAsia" w:ascii="宋体" w:hAnsi="宋体" w:eastAsia="宋体"/>
                <w:szCs w:val="21"/>
              </w:rPr>
            </w:pPr>
            <w:r>
              <w:rPr>
                <w:rFonts w:hint="eastAsia" w:ascii="宋体" w:hAnsi="宋体" w:eastAsia="宋体"/>
                <w:szCs w:val="21"/>
              </w:rPr>
              <w:t>20</w:t>
            </w:r>
            <w:r>
              <w:rPr>
                <w:rFonts w:ascii="宋体" w:hAnsi="宋体" w:eastAsia="宋体"/>
                <w:szCs w:val="21"/>
              </w:rPr>
              <w:t>00～</w:t>
            </w:r>
            <w:r>
              <w:rPr>
                <w:rFonts w:hint="eastAsia" w:ascii="宋体" w:hAnsi="宋体" w:eastAsia="宋体"/>
                <w:szCs w:val="21"/>
              </w:rPr>
              <w:t>30</w:t>
            </w:r>
            <w:r>
              <w:rPr>
                <w:rFonts w:ascii="宋体" w:hAnsi="宋体" w:eastAsia="宋体"/>
                <w:szCs w:val="21"/>
              </w:rPr>
              <w:t>00倍液</w:t>
            </w:r>
          </w:p>
        </w:tc>
        <w:tc>
          <w:tcPr>
            <w:tcW w:w="850" w:type="dxa"/>
            <w:vAlign w:val="center"/>
          </w:tcPr>
          <w:p w14:paraId="36ABFBEE">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7EECB399">
            <w:pPr>
              <w:spacing w:line="360" w:lineRule="auto"/>
              <w:jc w:val="center"/>
              <w:rPr>
                <w:rFonts w:hint="eastAsia" w:ascii="宋体" w:hAnsi="宋体" w:eastAsia="宋体"/>
                <w:szCs w:val="21"/>
              </w:rPr>
            </w:pPr>
            <w:r>
              <w:rPr>
                <w:rFonts w:hint="eastAsia" w:ascii="宋体" w:hAnsi="宋体" w:eastAsia="宋体"/>
                <w:szCs w:val="21"/>
              </w:rPr>
              <w:t>21</w:t>
            </w:r>
          </w:p>
        </w:tc>
      </w:tr>
      <w:tr w14:paraId="7892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14:paraId="3E99D50B">
            <w:pPr>
              <w:spacing w:line="360" w:lineRule="auto"/>
              <w:rPr>
                <w:rFonts w:hint="eastAsia" w:ascii="宋体" w:hAnsi="宋体" w:eastAsia="宋体"/>
                <w:szCs w:val="21"/>
              </w:rPr>
            </w:pPr>
            <w:r>
              <w:rPr>
                <w:rFonts w:hint="eastAsia" w:ascii="宋体" w:hAnsi="宋体" w:eastAsia="宋体"/>
                <w:szCs w:val="21"/>
              </w:rPr>
              <w:t>白粉病</w:t>
            </w:r>
          </w:p>
        </w:tc>
        <w:tc>
          <w:tcPr>
            <w:tcW w:w="1701" w:type="dxa"/>
            <w:vMerge w:val="restart"/>
            <w:vAlign w:val="center"/>
          </w:tcPr>
          <w:p w14:paraId="2E8EE4A8">
            <w:pPr>
              <w:spacing w:line="360" w:lineRule="auto"/>
              <w:rPr>
                <w:rFonts w:hint="eastAsia" w:ascii="宋体" w:hAnsi="宋体" w:eastAsia="宋体"/>
                <w:szCs w:val="21"/>
              </w:rPr>
            </w:pPr>
            <w:r>
              <w:rPr>
                <w:rFonts w:ascii="宋体" w:hAnsi="宋体" w:eastAsia="宋体"/>
                <w:szCs w:val="21"/>
              </w:rPr>
              <w:t>苹果套袋前</w:t>
            </w:r>
          </w:p>
        </w:tc>
        <w:tc>
          <w:tcPr>
            <w:tcW w:w="2835" w:type="dxa"/>
            <w:vAlign w:val="center"/>
          </w:tcPr>
          <w:p w14:paraId="3AE6DCD2">
            <w:pPr>
              <w:spacing w:line="360" w:lineRule="auto"/>
              <w:rPr>
                <w:rFonts w:hint="eastAsia" w:ascii="宋体" w:hAnsi="宋体" w:eastAsia="宋体"/>
                <w:szCs w:val="21"/>
              </w:rPr>
            </w:pPr>
            <w:r>
              <w:rPr>
                <w:rFonts w:hint="eastAsia" w:ascii="宋体" w:hAnsi="宋体" w:eastAsia="宋体"/>
                <w:szCs w:val="21"/>
              </w:rPr>
              <w:t>36%甲基硫菌灵悬浮剂</w:t>
            </w:r>
          </w:p>
        </w:tc>
        <w:tc>
          <w:tcPr>
            <w:tcW w:w="1985" w:type="dxa"/>
            <w:vAlign w:val="center"/>
          </w:tcPr>
          <w:p w14:paraId="45B22B52">
            <w:pPr>
              <w:spacing w:line="360" w:lineRule="auto"/>
              <w:rPr>
                <w:rFonts w:hint="eastAsia" w:ascii="宋体" w:hAnsi="宋体" w:eastAsia="宋体"/>
                <w:szCs w:val="21"/>
              </w:rPr>
            </w:pPr>
            <w:r>
              <w:rPr>
                <w:rFonts w:ascii="宋体" w:hAnsi="宋体" w:eastAsia="宋体"/>
                <w:szCs w:val="21"/>
              </w:rPr>
              <w:t>800～1200倍液</w:t>
            </w:r>
          </w:p>
        </w:tc>
        <w:tc>
          <w:tcPr>
            <w:tcW w:w="850" w:type="dxa"/>
            <w:vAlign w:val="center"/>
          </w:tcPr>
          <w:p w14:paraId="5F34CA1F">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073ADF3B">
            <w:pPr>
              <w:spacing w:line="360" w:lineRule="auto"/>
              <w:jc w:val="center"/>
              <w:rPr>
                <w:rFonts w:hint="eastAsia" w:ascii="宋体" w:hAnsi="宋体" w:eastAsia="宋体"/>
                <w:szCs w:val="21"/>
              </w:rPr>
            </w:pPr>
            <w:r>
              <w:rPr>
                <w:rFonts w:hint="eastAsia" w:ascii="宋体" w:hAnsi="宋体" w:eastAsia="宋体"/>
                <w:szCs w:val="21"/>
              </w:rPr>
              <w:t>21</w:t>
            </w:r>
          </w:p>
        </w:tc>
      </w:tr>
      <w:tr w14:paraId="2EF7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2AC52506">
            <w:pPr>
              <w:spacing w:line="360" w:lineRule="auto"/>
              <w:rPr>
                <w:rFonts w:hint="eastAsia" w:ascii="宋体" w:hAnsi="宋体" w:eastAsia="宋体"/>
                <w:szCs w:val="21"/>
              </w:rPr>
            </w:pPr>
          </w:p>
        </w:tc>
        <w:tc>
          <w:tcPr>
            <w:tcW w:w="1701" w:type="dxa"/>
            <w:vMerge w:val="continue"/>
            <w:vAlign w:val="center"/>
          </w:tcPr>
          <w:p w14:paraId="682A1C09">
            <w:pPr>
              <w:spacing w:line="360" w:lineRule="auto"/>
              <w:rPr>
                <w:rFonts w:hint="eastAsia" w:ascii="宋体" w:hAnsi="宋体" w:eastAsia="宋体"/>
                <w:szCs w:val="21"/>
              </w:rPr>
            </w:pPr>
          </w:p>
        </w:tc>
        <w:tc>
          <w:tcPr>
            <w:tcW w:w="2835" w:type="dxa"/>
            <w:vAlign w:val="center"/>
          </w:tcPr>
          <w:p w14:paraId="328282B3">
            <w:pPr>
              <w:spacing w:line="360" w:lineRule="auto"/>
              <w:rPr>
                <w:rFonts w:hint="eastAsia" w:ascii="宋体" w:hAnsi="宋体" w:eastAsia="宋体"/>
                <w:szCs w:val="21"/>
              </w:rPr>
            </w:pPr>
            <w:r>
              <w:rPr>
                <w:rFonts w:hint="eastAsia" w:ascii="宋体" w:hAnsi="宋体" w:eastAsia="宋体"/>
                <w:szCs w:val="21"/>
              </w:rPr>
              <w:t>40%腈菌唑可湿性粉剂</w:t>
            </w:r>
          </w:p>
        </w:tc>
        <w:tc>
          <w:tcPr>
            <w:tcW w:w="1985" w:type="dxa"/>
            <w:vAlign w:val="center"/>
          </w:tcPr>
          <w:p w14:paraId="53DCE96A">
            <w:pPr>
              <w:spacing w:line="360" w:lineRule="auto"/>
              <w:rPr>
                <w:rFonts w:hint="eastAsia" w:ascii="宋体" w:hAnsi="宋体" w:eastAsia="宋体"/>
                <w:szCs w:val="21"/>
              </w:rPr>
            </w:pPr>
            <w:r>
              <w:rPr>
                <w:rFonts w:ascii="宋体" w:hAnsi="宋体" w:eastAsia="宋体"/>
                <w:szCs w:val="21"/>
              </w:rPr>
              <w:t>6000～8000倍液</w:t>
            </w:r>
          </w:p>
        </w:tc>
        <w:tc>
          <w:tcPr>
            <w:tcW w:w="850" w:type="dxa"/>
            <w:vAlign w:val="center"/>
          </w:tcPr>
          <w:p w14:paraId="5CF35FEC">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7FB3C775">
            <w:pPr>
              <w:spacing w:line="360" w:lineRule="auto"/>
              <w:jc w:val="center"/>
              <w:rPr>
                <w:rFonts w:hint="eastAsia" w:ascii="宋体" w:hAnsi="宋体" w:eastAsia="宋体"/>
                <w:szCs w:val="21"/>
              </w:rPr>
            </w:pPr>
            <w:r>
              <w:rPr>
                <w:rFonts w:hint="eastAsia" w:ascii="宋体" w:hAnsi="宋体" w:eastAsia="宋体"/>
                <w:szCs w:val="21"/>
              </w:rPr>
              <w:t>7</w:t>
            </w:r>
          </w:p>
        </w:tc>
      </w:tr>
      <w:tr w14:paraId="6F6F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74ACB6A2">
            <w:pPr>
              <w:spacing w:line="360" w:lineRule="auto"/>
              <w:rPr>
                <w:rFonts w:hint="eastAsia" w:ascii="宋体" w:hAnsi="宋体" w:eastAsia="宋体"/>
                <w:szCs w:val="21"/>
              </w:rPr>
            </w:pPr>
          </w:p>
        </w:tc>
        <w:tc>
          <w:tcPr>
            <w:tcW w:w="1701" w:type="dxa"/>
            <w:vMerge w:val="continue"/>
            <w:vAlign w:val="center"/>
          </w:tcPr>
          <w:p w14:paraId="20E75B17">
            <w:pPr>
              <w:spacing w:line="360" w:lineRule="auto"/>
              <w:rPr>
                <w:rFonts w:hint="eastAsia" w:ascii="宋体" w:hAnsi="宋体" w:eastAsia="宋体"/>
                <w:szCs w:val="21"/>
              </w:rPr>
            </w:pPr>
          </w:p>
        </w:tc>
        <w:tc>
          <w:tcPr>
            <w:tcW w:w="2835" w:type="dxa"/>
            <w:vAlign w:val="center"/>
          </w:tcPr>
          <w:p w14:paraId="669E4D1B">
            <w:pPr>
              <w:spacing w:line="360" w:lineRule="auto"/>
              <w:rPr>
                <w:rFonts w:hint="eastAsia" w:ascii="宋体" w:hAnsi="宋体" w:eastAsia="宋体"/>
                <w:szCs w:val="21"/>
              </w:rPr>
            </w:pPr>
            <w:r>
              <w:rPr>
                <w:rFonts w:hint="eastAsia" w:ascii="宋体" w:hAnsi="宋体" w:eastAsia="宋体"/>
                <w:szCs w:val="21"/>
              </w:rPr>
              <w:t>10%醚菌酯悬浮剂</w:t>
            </w:r>
          </w:p>
        </w:tc>
        <w:tc>
          <w:tcPr>
            <w:tcW w:w="1985" w:type="dxa"/>
            <w:vAlign w:val="center"/>
          </w:tcPr>
          <w:p w14:paraId="6200F726">
            <w:pPr>
              <w:spacing w:line="360" w:lineRule="auto"/>
              <w:rPr>
                <w:rFonts w:hint="eastAsia" w:ascii="宋体" w:hAnsi="宋体" w:eastAsia="宋体"/>
                <w:szCs w:val="21"/>
              </w:rPr>
            </w:pPr>
            <w:r>
              <w:rPr>
                <w:rFonts w:ascii="宋体" w:hAnsi="宋体" w:eastAsia="宋体"/>
                <w:szCs w:val="21"/>
              </w:rPr>
              <w:t>600～</w:t>
            </w:r>
            <w:r>
              <w:rPr>
                <w:rFonts w:hint="eastAsia" w:ascii="宋体" w:hAnsi="宋体" w:eastAsia="宋体"/>
                <w:szCs w:val="21"/>
              </w:rPr>
              <w:t>800</w:t>
            </w:r>
            <w:r>
              <w:rPr>
                <w:rFonts w:ascii="宋体" w:hAnsi="宋体" w:eastAsia="宋体"/>
                <w:szCs w:val="21"/>
              </w:rPr>
              <w:t>倍液</w:t>
            </w:r>
          </w:p>
        </w:tc>
        <w:tc>
          <w:tcPr>
            <w:tcW w:w="850" w:type="dxa"/>
            <w:vAlign w:val="center"/>
          </w:tcPr>
          <w:p w14:paraId="5A164DB0">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24AF2D75">
            <w:pPr>
              <w:spacing w:line="360" w:lineRule="auto"/>
              <w:jc w:val="center"/>
              <w:rPr>
                <w:rFonts w:hint="eastAsia" w:ascii="宋体" w:hAnsi="宋体" w:eastAsia="宋体"/>
                <w:szCs w:val="21"/>
              </w:rPr>
            </w:pPr>
            <w:r>
              <w:rPr>
                <w:rFonts w:hint="eastAsia" w:ascii="宋体" w:hAnsi="宋体" w:eastAsia="宋体"/>
                <w:szCs w:val="21"/>
              </w:rPr>
              <w:t>14</w:t>
            </w:r>
          </w:p>
        </w:tc>
      </w:tr>
      <w:tr w14:paraId="6249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14:paraId="2BD1F7E2">
            <w:pPr>
              <w:spacing w:line="360" w:lineRule="auto"/>
              <w:rPr>
                <w:rFonts w:hint="eastAsia" w:ascii="宋体" w:hAnsi="宋体" w:eastAsia="宋体"/>
                <w:szCs w:val="21"/>
              </w:rPr>
            </w:pPr>
            <w:r>
              <w:rPr>
                <w:rFonts w:hint="eastAsia" w:ascii="宋体" w:hAnsi="宋体" w:eastAsia="宋体"/>
                <w:szCs w:val="21"/>
              </w:rPr>
              <w:t>蚜虫</w:t>
            </w:r>
          </w:p>
        </w:tc>
        <w:tc>
          <w:tcPr>
            <w:tcW w:w="1701" w:type="dxa"/>
            <w:vMerge w:val="restart"/>
            <w:vAlign w:val="center"/>
          </w:tcPr>
          <w:p w14:paraId="311F733E">
            <w:pPr>
              <w:spacing w:line="360" w:lineRule="auto"/>
              <w:rPr>
                <w:rFonts w:hint="eastAsia" w:ascii="宋体" w:hAnsi="宋体" w:eastAsia="宋体"/>
                <w:szCs w:val="21"/>
              </w:rPr>
            </w:pPr>
            <w:r>
              <w:rPr>
                <w:rFonts w:ascii="宋体" w:hAnsi="宋体" w:eastAsia="宋体"/>
                <w:szCs w:val="21"/>
              </w:rPr>
              <w:t>苹果树蚜虫始盛期</w:t>
            </w:r>
          </w:p>
        </w:tc>
        <w:tc>
          <w:tcPr>
            <w:tcW w:w="2835" w:type="dxa"/>
            <w:vAlign w:val="center"/>
          </w:tcPr>
          <w:p w14:paraId="1E94D8B5">
            <w:pPr>
              <w:spacing w:line="360" w:lineRule="auto"/>
              <w:rPr>
                <w:rFonts w:hint="eastAsia" w:ascii="宋体" w:hAnsi="宋体" w:eastAsia="宋体"/>
                <w:szCs w:val="21"/>
              </w:rPr>
            </w:pPr>
            <w:r>
              <w:rPr>
                <w:rFonts w:hint="eastAsia" w:ascii="宋体" w:hAnsi="宋体" w:eastAsia="宋体"/>
                <w:szCs w:val="21"/>
              </w:rPr>
              <w:t>5%吡虫啉可溶液剂</w:t>
            </w:r>
          </w:p>
        </w:tc>
        <w:tc>
          <w:tcPr>
            <w:tcW w:w="1985" w:type="dxa"/>
            <w:vAlign w:val="center"/>
          </w:tcPr>
          <w:p w14:paraId="4F4A60A9">
            <w:pPr>
              <w:spacing w:line="360" w:lineRule="auto"/>
              <w:rPr>
                <w:rFonts w:hint="eastAsia" w:ascii="宋体" w:hAnsi="宋体" w:eastAsia="宋体"/>
                <w:szCs w:val="21"/>
              </w:rPr>
            </w:pPr>
            <w:r>
              <w:rPr>
                <w:rFonts w:ascii="宋体" w:hAnsi="宋体" w:eastAsia="宋体"/>
                <w:szCs w:val="21"/>
              </w:rPr>
              <w:t>1</w:t>
            </w:r>
            <w:r>
              <w:rPr>
                <w:rFonts w:hint="eastAsia" w:ascii="宋体" w:hAnsi="宋体" w:eastAsia="宋体"/>
                <w:szCs w:val="21"/>
              </w:rPr>
              <w:t>000</w:t>
            </w:r>
            <w:r>
              <w:rPr>
                <w:rFonts w:ascii="宋体" w:hAnsi="宋体" w:eastAsia="宋体"/>
                <w:szCs w:val="21"/>
              </w:rPr>
              <w:t>～</w:t>
            </w:r>
            <w:r>
              <w:rPr>
                <w:rFonts w:hint="eastAsia" w:ascii="宋体" w:hAnsi="宋体" w:eastAsia="宋体"/>
                <w:szCs w:val="21"/>
              </w:rPr>
              <w:t>2000</w:t>
            </w:r>
            <w:r>
              <w:rPr>
                <w:rFonts w:ascii="宋体" w:hAnsi="宋体" w:eastAsia="宋体"/>
                <w:szCs w:val="21"/>
              </w:rPr>
              <w:t>倍液</w:t>
            </w:r>
          </w:p>
        </w:tc>
        <w:tc>
          <w:tcPr>
            <w:tcW w:w="850" w:type="dxa"/>
            <w:vAlign w:val="center"/>
          </w:tcPr>
          <w:p w14:paraId="736B031E">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6B6379ED">
            <w:pPr>
              <w:spacing w:line="360" w:lineRule="auto"/>
              <w:jc w:val="center"/>
              <w:rPr>
                <w:rFonts w:hint="eastAsia" w:ascii="宋体" w:hAnsi="宋体" w:eastAsia="宋体"/>
                <w:szCs w:val="21"/>
              </w:rPr>
            </w:pPr>
            <w:r>
              <w:rPr>
                <w:rFonts w:hint="eastAsia" w:ascii="宋体" w:hAnsi="宋体" w:eastAsia="宋体"/>
                <w:szCs w:val="21"/>
              </w:rPr>
              <w:t>14</w:t>
            </w:r>
          </w:p>
        </w:tc>
      </w:tr>
      <w:tr w14:paraId="510F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34D3F258">
            <w:pPr>
              <w:spacing w:line="360" w:lineRule="auto"/>
              <w:rPr>
                <w:rFonts w:hint="eastAsia" w:ascii="宋体" w:hAnsi="宋体" w:eastAsia="宋体"/>
                <w:szCs w:val="21"/>
              </w:rPr>
            </w:pPr>
          </w:p>
        </w:tc>
        <w:tc>
          <w:tcPr>
            <w:tcW w:w="1701" w:type="dxa"/>
            <w:vMerge w:val="continue"/>
            <w:vAlign w:val="center"/>
          </w:tcPr>
          <w:p w14:paraId="4204F7A1">
            <w:pPr>
              <w:spacing w:line="360" w:lineRule="auto"/>
              <w:rPr>
                <w:rFonts w:hint="eastAsia" w:ascii="宋体" w:hAnsi="宋体" w:eastAsia="宋体"/>
                <w:szCs w:val="21"/>
              </w:rPr>
            </w:pPr>
          </w:p>
        </w:tc>
        <w:tc>
          <w:tcPr>
            <w:tcW w:w="2835" w:type="dxa"/>
            <w:vAlign w:val="center"/>
          </w:tcPr>
          <w:p w14:paraId="539CB746">
            <w:pPr>
              <w:spacing w:line="360" w:lineRule="auto"/>
              <w:rPr>
                <w:rFonts w:hint="eastAsia" w:ascii="宋体" w:hAnsi="宋体" w:eastAsia="宋体"/>
                <w:szCs w:val="21"/>
              </w:rPr>
            </w:pPr>
            <w:r>
              <w:rPr>
                <w:rFonts w:hint="eastAsia" w:ascii="宋体" w:hAnsi="宋体" w:eastAsia="宋体"/>
                <w:szCs w:val="21"/>
              </w:rPr>
              <w:t>5%啶虫脒乳油</w:t>
            </w:r>
          </w:p>
        </w:tc>
        <w:tc>
          <w:tcPr>
            <w:tcW w:w="1985" w:type="dxa"/>
            <w:vAlign w:val="center"/>
          </w:tcPr>
          <w:p w14:paraId="3E2FE5D3">
            <w:pPr>
              <w:spacing w:line="360" w:lineRule="auto"/>
              <w:rPr>
                <w:rFonts w:hint="eastAsia" w:ascii="宋体" w:hAnsi="宋体" w:eastAsia="宋体"/>
                <w:szCs w:val="21"/>
              </w:rPr>
            </w:pPr>
            <w:r>
              <w:rPr>
                <w:rFonts w:hint="eastAsia" w:ascii="宋体" w:hAnsi="宋体" w:eastAsia="宋体"/>
                <w:szCs w:val="21"/>
              </w:rPr>
              <w:t>4150</w:t>
            </w:r>
            <w:r>
              <w:rPr>
                <w:rFonts w:ascii="宋体" w:hAnsi="宋体" w:eastAsia="宋体"/>
                <w:szCs w:val="21"/>
              </w:rPr>
              <w:t>～</w:t>
            </w:r>
            <w:r>
              <w:rPr>
                <w:rFonts w:hint="eastAsia" w:ascii="宋体" w:hAnsi="宋体" w:eastAsia="宋体"/>
                <w:szCs w:val="21"/>
              </w:rPr>
              <w:t>5000</w:t>
            </w:r>
            <w:r>
              <w:rPr>
                <w:rFonts w:ascii="宋体" w:hAnsi="宋体" w:eastAsia="宋体"/>
                <w:szCs w:val="21"/>
              </w:rPr>
              <w:t>倍液</w:t>
            </w:r>
          </w:p>
        </w:tc>
        <w:tc>
          <w:tcPr>
            <w:tcW w:w="850" w:type="dxa"/>
            <w:vAlign w:val="center"/>
          </w:tcPr>
          <w:p w14:paraId="4E90B0FC">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1FE28B84">
            <w:pPr>
              <w:spacing w:line="360" w:lineRule="auto"/>
              <w:jc w:val="center"/>
              <w:rPr>
                <w:rFonts w:hint="eastAsia" w:ascii="宋体" w:hAnsi="宋体" w:eastAsia="宋体"/>
                <w:szCs w:val="21"/>
              </w:rPr>
            </w:pPr>
            <w:r>
              <w:rPr>
                <w:rFonts w:hint="eastAsia" w:ascii="宋体" w:hAnsi="宋体" w:eastAsia="宋体"/>
                <w:szCs w:val="21"/>
              </w:rPr>
              <w:t>14</w:t>
            </w:r>
          </w:p>
        </w:tc>
      </w:tr>
      <w:tr w14:paraId="662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48144F56">
            <w:pPr>
              <w:spacing w:line="360" w:lineRule="auto"/>
              <w:rPr>
                <w:rFonts w:hint="eastAsia" w:ascii="宋体" w:hAnsi="宋体" w:eastAsia="宋体"/>
                <w:szCs w:val="21"/>
              </w:rPr>
            </w:pPr>
          </w:p>
        </w:tc>
        <w:tc>
          <w:tcPr>
            <w:tcW w:w="1701" w:type="dxa"/>
            <w:vMerge w:val="continue"/>
            <w:vAlign w:val="center"/>
          </w:tcPr>
          <w:p w14:paraId="4E348177">
            <w:pPr>
              <w:spacing w:line="360" w:lineRule="auto"/>
              <w:rPr>
                <w:rFonts w:hint="eastAsia" w:ascii="宋体" w:hAnsi="宋体" w:eastAsia="宋体"/>
                <w:szCs w:val="21"/>
              </w:rPr>
            </w:pPr>
          </w:p>
        </w:tc>
        <w:tc>
          <w:tcPr>
            <w:tcW w:w="2835" w:type="dxa"/>
            <w:vAlign w:val="center"/>
          </w:tcPr>
          <w:p w14:paraId="4F57894C">
            <w:pPr>
              <w:spacing w:line="360" w:lineRule="auto"/>
              <w:rPr>
                <w:rFonts w:hint="eastAsia" w:ascii="宋体" w:hAnsi="宋体" w:eastAsia="宋体"/>
                <w:szCs w:val="21"/>
              </w:rPr>
            </w:pPr>
            <w:r>
              <w:rPr>
                <w:rFonts w:hint="eastAsia" w:ascii="宋体" w:hAnsi="宋体" w:eastAsia="宋体"/>
                <w:szCs w:val="21"/>
              </w:rPr>
              <w:t>21%噻虫嗪悬浮剂</w:t>
            </w:r>
          </w:p>
        </w:tc>
        <w:tc>
          <w:tcPr>
            <w:tcW w:w="1985" w:type="dxa"/>
            <w:vAlign w:val="center"/>
          </w:tcPr>
          <w:p w14:paraId="6C3B04FE">
            <w:pPr>
              <w:spacing w:line="360" w:lineRule="auto"/>
              <w:rPr>
                <w:rFonts w:hint="eastAsia" w:ascii="宋体" w:hAnsi="宋体" w:eastAsia="宋体"/>
                <w:szCs w:val="21"/>
              </w:rPr>
            </w:pPr>
            <w:r>
              <w:rPr>
                <w:rFonts w:ascii="宋体" w:hAnsi="宋体" w:eastAsia="宋体"/>
                <w:szCs w:val="21"/>
              </w:rPr>
              <w:t>4375～7000倍液</w:t>
            </w:r>
          </w:p>
        </w:tc>
        <w:tc>
          <w:tcPr>
            <w:tcW w:w="850" w:type="dxa"/>
            <w:vAlign w:val="center"/>
          </w:tcPr>
          <w:p w14:paraId="2F3B830E">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191F7074">
            <w:pPr>
              <w:spacing w:line="360" w:lineRule="auto"/>
              <w:jc w:val="center"/>
              <w:rPr>
                <w:rFonts w:hint="eastAsia" w:ascii="宋体" w:hAnsi="宋体" w:eastAsia="宋体"/>
                <w:szCs w:val="21"/>
              </w:rPr>
            </w:pPr>
            <w:r>
              <w:rPr>
                <w:rFonts w:hint="eastAsia" w:ascii="宋体" w:hAnsi="宋体" w:eastAsia="宋体"/>
                <w:szCs w:val="21"/>
              </w:rPr>
              <w:t>14</w:t>
            </w:r>
          </w:p>
        </w:tc>
      </w:tr>
      <w:tr w14:paraId="7ED1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14:paraId="6BBA2E21">
            <w:pPr>
              <w:spacing w:line="360" w:lineRule="auto"/>
              <w:rPr>
                <w:rFonts w:hint="eastAsia" w:ascii="宋体" w:hAnsi="宋体" w:eastAsia="宋体"/>
                <w:szCs w:val="21"/>
              </w:rPr>
            </w:pPr>
            <w:r>
              <w:rPr>
                <w:rFonts w:hint="eastAsia" w:ascii="宋体" w:hAnsi="宋体" w:eastAsia="宋体"/>
                <w:szCs w:val="21"/>
              </w:rPr>
              <w:t>叶螨类</w:t>
            </w:r>
          </w:p>
        </w:tc>
        <w:tc>
          <w:tcPr>
            <w:tcW w:w="1701" w:type="dxa"/>
            <w:vMerge w:val="restart"/>
            <w:vAlign w:val="center"/>
          </w:tcPr>
          <w:p w14:paraId="60889049">
            <w:pPr>
              <w:spacing w:line="360" w:lineRule="auto"/>
              <w:rPr>
                <w:rFonts w:hint="eastAsia" w:ascii="宋体" w:hAnsi="宋体" w:eastAsia="宋体"/>
                <w:szCs w:val="21"/>
              </w:rPr>
            </w:pPr>
            <w:r>
              <w:rPr>
                <w:rFonts w:hint="eastAsia" w:ascii="宋体" w:hAnsi="宋体" w:eastAsia="宋体"/>
                <w:szCs w:val="21"/>
              </w:rPr>
              <w:t>苹果树开花前后</w:t>
            </w:r>
          </w:p>
        </w:tc>
        <w:tc>
          <w:tcPr>
            <w:tcW w:w="2835" w:type="dxa"/>
            <w:vAlign w:val="center"/>
          </w:tcPr>
          <w:p w14:paraId="72143ABA">
            <w:pPr>
              <w:spacing w:line="360" w:lineRule="auto"/>
              <w:rPr>
                <w:rFonts w:hint="eastAsia" w:ascii="宋体" w:hAnsi="宋体" w:eastAsia="宋体"/>
                <w:szCs w:val="21"/>
              </w:rPr>
            </w:pPr>
            <w:r>
              <w:rPr>
                <w:rFonts w:ascii="宋体" w:hAnsi="宋体" w:eastAsia="宋体"/>
                <w:szCs w:val="21"/>
              </w:rPr>
              <w:t>240克/升</w:t>
            </w:r>
            <w:r>
              <w:rPr>
                <w:rFonts w:hint="eastAsia" w:ascii="宋体" w:hAnsi="宋体" w:eastAsia="宋体"/>
                <w:szCs w:val="21"/>
              </w:rPr>
              <w:t>螺螨酯悬浮剂</w:t>
            </w:r>
          </w:p>
        </w:tc>
        <w:tc>
          <w:tcPr>
            <w:tcW w:w="1985" w:type="dxa"/>
            <w:vAlign w:val="center"/>
          </w:tcPr>
          <w:p w14:paraId="0D1DD53A">
            <w:pPr>
              <w:spacing w:line="360" w:lineRule="auto"/>
              <w:rPr>
                <w:rFonts w:hint="eastAsia" w:ascii="宋体" w:hAnsi="宋体" w:eastAsia="宋体"/>
                <w:szCs w:val="21"/>
              </w:rPr>
            </w:pPr>
            <w:r>
              <w:rPr>
                <w:rFonts w:ascii="宋体" w:hAnsi="宋体" w:eastAsia="宋体"/>
                <w:szCs w:val="21"/>
              </w:rPr>
              <w:t>4000～6000倍液</w:t>
            </w:r>
          </w:p>
        </w:tc>
        <w:tc>
          <w:tcPr>
            <w:tcW w:w="850" w:type="dxa"/>
            <w:vAlign w:val="center"/>
          </w:tcPr>
          <w:p w14:paraId="4C89DC06">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5FCAB6BB">
            <w:pPr>
              <w:spacing w:line="360" w:lineRule="auto"/>
              <w:jc w:val="center"/>
              <w:rPr>
                <w:rFonts w:hint="eastAsia" w:ascii="宋体" w:hAnsi="宋体" w:eastAsia="宋体"/>
                <w:szCs w:val="21"/>
              </w:rPr>
            </w:pPr>
            <w:r>
              <w:rPr>
                <w:rFonts w:hint="eastAsia" w:ascii="宋体" w:hAnsi="宋体" w:eastAsia="宋体"/>
                <w:szCs w:val="21"/>
              </w:rPr>
              <w:t>30</w:t>
            </w:r>
          </w:p>
        </w:tc>
      </w:tr>
      <w:tr w14:paraId="3246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3705742A">
            <w:pPr>
              <w:spacing w:line="360" w:lineRule="auto"/>
              <w:rPr>
                <w:rFonts w:hint="eastAsia" w:ascii="宋体" w:hAnsi="宋体" w:eastAsia="宋体"/>
                <w:szCs w:val="21"/>
              </w:rPr>
            </w:pPr>
          </w:p>
        </w:tc>
        <w:tc>
          <w:tcPr>
            <w:tcW w:w="1701" w:type="dxa"/>
            <w:vMerge w:val="continue"/>
            <w:vAlign w:val="center"/>
          </w:tcPr>
          <w:p w14:paraId="67464CB1">
            <w:pPr>
              <w:spacing w:line="360" w:lineRule="auto"/>
              <w:rPr>
                <w:rFonts w:hint="eastAsia" w:ascii="宋体" w:hAnsi="宋体" w:eastAsia="宋体"/>
                <w:szCs w:val="21"/>
              </w:rPr>
            </w:pPr>
          </w:p>
        </w:tc>
        <w:tc>
          <w:tcPr>
            <w:tcW w:w="2835" w:type="dxa"/>
            <w:vAlign w:val="center"/>
          </w:tcPr>
          <w:p w14:paraId="0EF90F8D">
            <w:pPr>
              <w:spacing w:line="360" w:lineRule="auto"/>
              <w:rPr>
                <w:rFonts w:hint="eastAsia" w:ascii="宋体" w:hAnsi="宋体" w:eastAsia="宋体"/>
                <w:szCs w:val="21"/>
              </w:rPr>
            </w:pPr>
            <w:r>
              <w:rPr>
                <w:rFonts w:hint="eastAsia" w:ascii="宋体" w:hAnsi="宋体" w:eastAsia="宋体"/>
                <w:szCs w:val="21"/>
              </w:rPr>
              <w:t>5%噻螨酮乳油</w:t>
            </w:r>
          </w:p>
        </w:tc>
        <w:tc>
          <w:tcPr>
            <w:tcW w:w="1985" w:type="dxa"/>
            <w:vAlign w:val="center"/>
          </w:tcPr>
          <w:p w14:paraId="03D64142">
            <w:pPr>
              <w:spacing w:line="360" w:lineRule="auto"/>
              <w:rPr>
                <w:rFonts w:hint="eastAsia" w:ascii="宋体" w:hAnsi="宋体" w:eastAsia="宋体"/>
                <w:szCs w:val="21"/>
              </w:rPr>
            </w:pPr>
            <w:r>
              <w:rPr>
                <w:rFonts w:ascii="宋体" w:hAnsi="宋体" w:eastAsia="宋体"/>
                <w:szCs w:val="21"/>
              </w:rPr>
              <w:t>1670～2000倍液</w:t>
            </w:r>
          </w:p>
        </w:tc>
        <w:tc>
          <w:tcPr>
            <w:tcW w:w="850" w:type="dxa"/>
            <w:vAlign w:val="center"/>
          </w:tcPr>
          <w:p w14:paraId="4D923AD2">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7DE76CD1">
            <w:pPr>
              <w:spacing w:line="360" w:lineRule="auto"/>
              <w:jc w:val="center"/>
              <w:rPr>
                <w:rFonts w:hint="eastAsia" w:ascii="宋体" w:hAnsi="宋体" w:eastAsia="宋体"/>
                <w:szCs w:val="21"/>
              </w:rPr>
            </w:pPr>
            <w:r>
              <w:rPr>
                <w:rFonts w:hint="eastAsia" w:ascii="宋体" w:hAnsi="宋体" w:eastAsia="宋体"/>
                <w:szCs w:val="21"/>
              </w:rPr>
              <w:t>30</w:t>
            </w:r>
          </w:p>
        </w:tc>
      </w:tr>
      <w:tr w14:paraId="27C7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71" w:type="dxa"/>
            <w:vMerge w:val="continue"/>
            <w:vAlign w:val="center"/>
          </w:tcPr>
          <w:p w14:paraId="56F58340">
            <w:pPr>
              <w:spacing w:line="360" w:lineRule="auto"/>
              <w:rPr>
                <w:rFonts w:hint="eastAsia" w:ascii="宋体" w:hAnsi="宋体" w:eastAsia="宋体"/>
                <w:szCs w:val="21"/>
              </w:rPr>
            </w:pPr>
          </w:p>
        </w:tc>
        <w:tc>
          <w:tcPr>
            <w:tcW w:w="1701" w:type="dxa"/>
            <w:vMerge w:val="continue"/>
            <w:vAlign w:val="center"/>
          </w:tcPr>
          <w:p w14:paraId="23B90F82">
            <w:pPr>
              <w:spacing w:line="360" w:lineRule="auto"/>
              <w:rPr>
                <w:rFonts w:hint="eastAsia" w:ascii="宋体" w:hAnsi="宋体" w:eastAsia="宋体"/>
                <w:szCs w:val="21"/>
              </w:rPr>
            </w:pPr>
          </w:p>
        </w:tc>
        <w:tc>
          <w:tcPr>
            <w:tcW w:w="2835" w:type="dxa"/>
            <w:vAlign w:val="center"/>
          </w:tcPr>
          <w:p w14:paraId="0D94BF3A">
            <w:pPr>
              <w:spacing w:line="360" w:lineRule="auto"/>
              <w:rPr>
                <w:rFonts w:hint="eastAsia" w:ascii="宋体" w:hAnsi="宋体" w:eastAsia="宋体"/>
                <w:szCs w:val="21"/>
              </w:rPr>
            </w:pPr>
            <w:r>
              <w:rPr>
                <w:rFonts w:hint="eastAsia" w:ascii="宋体" w:hAnsi="宋体" w:eastAsia="宋体"/>
                <w:szCs w:val="21"/>
              </w:rPr>
              <w:t>40%四螨嗪悬浮剂</w:t>
            </w:r>
          </w:p>
        </w:tc>
        <w:tc>
          <w:tcPr>
            <w:tcW w:w="1985" w:type="dxa"/>
            <w:vAlign w:val="center"/>
          </w:tcPr>
          <w:p w14:paraId="1E78D51C">
            <w:pPr>
              <w:spacing w:line="360" w:lineRule="auto"/>
              <w:rPr>
                <w:rFonts w:hint="eastAsia" w:ascii="宋体" w:hAnsi="宋体" w:eastAsia="宋体"/>
                <w:szCs w:val="21"/>
              </w:rPr>
            </w:pPr>
            <w:r>
              <w:rPr>
                <w:rFonts w:ascii="宋体" w:hAnsi="宋体" w:eastAsia="宋体"/>
                <w:szCs w:val="21"/>
              </w:rPr>
              <w:t>3000～4000倍液</w:t>
            </w:r>
          </w:p>
        </w:tc>
        <w:tc>
          <w:tcPr>
            <w:tcW w:w="850" w:type="dxa"/>
            <w:vAlign w:val="center"/>
          </w:tcPr>
          <w:p w14:paraId="1C946020">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03387403">
            <w:pPr>
              <w:spacing w:line="360" w:lineRule="auto"/>
              <w:jc w:val="center"/>
              <w:rPr>
                <w:rFonts w:hint="eastAsia" w:ascii="宋体" w:hAnsi="宋体" w:eastAsia="宋体"/>
                <w:szCs w:val="21"/>
              </w:rPr>
            </w:pPr>
            <w:r>
              <w:rPr>
                <w:rFonts w:hint="eastAsia" w:ascii="宋体" w:hAnsi="宋体" w:eastAsia="宋体"/>
                <w:szCs w:val="21"/>
              </w:rPr>
              <w:t>30</w:t>
            </w:r>
          </w:p>
        </w:tc>
      </w:tr>
      <w:tr w14:paraId="1AA7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2070D1CA">
            <w:pPr>
              <w:spacing w:line="360" w:lineRule="auto"/>
              <w:rPr>
                <w:rFonts w:hint="eastAsia" w:ascii="宋体" w:hAnsi="宋体" w:eastAsia="宋体"/>
                <w:szCs w:val="21"/>
              </w:rPr>
            </w:pPr>
            <w:r>
              <w:rPr>
                <w:rFonts w:hint="eastAsia" w:ascii="宋体" w:hAnsi="宋体" w:eastAsia="宋体"/>
                <w:szCs w:val="21"/>
              </w:rPr>
              <w:t>卷叶蛾类</w:t>
            </w:r>
          </w:p>
        </w:tc>
        <w:tc>
          <w:tcPr>
            <w:tcW w:w="1701" w:type="dxa"/>
            <w:vAlign w:val="center"/>
          </w:tcPr>
          <w:p w14:paraId="232CE6AF">
            <w:pPr>
              <w:spacing w:line="360" w:lineRule="auto"/>
              <w:rPr>
                <w:rFonts w:hint="eastAsia" w:ascii="宋体" w:hAnsi="宋体" w:eastAsia="宋体"/>
                <w:szCs w:val="21"/>
              </w:rPr>
            </w:pPr>
            <w:r>
              <w:rPr>
                <w:rFonts w:hint="eastAsia" w:ascii="宋体" w:hAnsi="宋体" w:eastAsia="宋体"/>
                <w:szCs w:val="21"/>
              </w:rPr>
              <w:t>从萌芽至幼果套袋前</w:t>
            </w:r>
          </w:p>
        </w:tc>
        <w:tc>
          <w:tcPr>
            <w:tcW w:w="2835" w:type="dxa"/>
            <w:vAlign w:val="center"/>
          </w:tcPr>
          <w:p w14:paraId="0C9A992D">
            <w:pPr>
              <w:spacing w:line="360" w:lineRule="auto"/>
              <w:rPr>
                <w:rFonts w:hint="eastAsia" w:ascii="宋体" w:hAnsi="宋体" w:eastAsia="宋体"/>
                <w:szCs w:val="21"/>
              </w:rPr>
            </w:pPr>
            <w:r>
              <w:rPr>
                <w:rFonts w:hint="eastAsia" w:ascii="宋体" w:hAnsi="宋体" w:eastAsia="宋体"/>
                <w:szCs w:val="21"/>
              </w:rPr>
              <w:t>20%</w:t>
            </w:r>
            <w:r>
              <w:rPr>
                <w:rFonts w:ascii="宋体" w:hAnsi="宋体" w:eastAsia="宋体"/>
                <w:szCs w:val="21"/>
              </w:rPr>
              <w:t>甲维·除虫脲</w:t>
            </w:r>
            <w:r>
              <w:rPr>
                <w:rFonts w:hint="eastAsia" w:ascii="宋体" w:hAnsi="宋体" w:eastAsia="宋体"/>
                <w:szCs w:val="21"/>
              </w:rPr>
              <w:t>悬浮剂</w:t>
            </w:r>
          </w:p>
        </w:tc>
        <w:tc>
          <w:tcPr>
            <w:tcW w:w="1985" w:type="dxa"/>
            <w:vAlign w:val="center"/>
          </w:tcPr>
          <w:p w14:paraId="21F2FF68">
            <w:pPr>
              <w:spacing w:line="360" w:lineRule="auto"/>
              <w:rPr>
                <w:rFonts w:hint="eastAsia" w:ascii="宋体" w:hAnsi="宋体" w:eastAsia="宋体"/>
                <w:szCs w:val="21"/>
              </w:rPr>
            </w:pPr>
            <w:r>
              <w:rPr>
                <w:rFonts w:ascii="宋体" w:hAnsi="宋体" w:eastAsia="宋体"/>
                <w:szCs w:val="21"/>
              </w:rPr>
              <w:t>2000～3000倍液</w:t>
            </w:r>
          </w:p>
        </w:tc>
        <w:tc>
          <w:tcPr>
            <w:tcW w:w="850" w:type="dxa"/>
            <w:vAlign w:val="center"/>
          </w:tcPr>
          <w:p w14:paraId="023D0B22">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7AE0BC5D">
            <w:pPr>
              <w:spacing w:line="360" w:lineRule="auto"/>
              <w:jc w:val="center"/>
              <w:rPr>
                <w:rFonts w:hint="eastAsia" w:ascii="宋体" w:hAnsi="宋体" w:eastAsia="宋体"/>
                <w:szCs w:val="21"/>
              </w:rPr>
            </w:pPr>
            <w:r>
              <w:rPr>
                <w:rFonts w:hint="eastAsia" w:ascii="宋体" w:hAnsi="宋体" w:eastAsia="宋体"/>
                <w:szCs w:val="21"/>
              </w:rPr>
              <w:t>14</w:t>
            </w:r>
          </w:p>
        </w:tc>
      </w:tr>
      <w:tr w14:paraId="4F66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14:paraId="1B28936F">
            <w:pPr>
              <w:spacing w:line="360" w:lineRule="auto"/>
              <w:rPr>
                <w:rFonts w:hint="eastAsia" w:ascii="宋体" w:hAnsi="宋体" w:eastAsia="宋体"/>
                <w:szCs w:val="21"/>
              </w:rPr>
            </w:pPr>
            <w:r>
              <w:rPr>
                <w:rFonts w:hint="eastAsia" w:ascii="宋体" w:hAnsi="宋体" w:eastAsia="宋体"/>
                <w:szCs w:val="21"/>
              </w:rPr>
              <w:t>潜叶蛾类</w:t>
            </w:r>
          </w:p>
        </w:tc>
        <w:tc>
          <w:tcPr>
            <w:tcW w:w="1701" w:type="dxa"/>
            <w:vMerge w:val="restart"/>
            <w:vAlign w:val="center"/>
          </w:tcPr>
          <w:p w14:paraId="7EACD2E6">
            <w:pPr>
              <w:spacing w:line="360" w:lineRule="auto"/>
              <w:rPr>
                <w:rFonts w:hint="eastAsia" w:ascii="宋体" w:hAnsi="宋体" w:eastAsia="宋体"/>
                <w:szCs w:val="21"/>
              </w:rPr>
            </w:pPr>
            <w:r>
              <w:rPr>
                <w:rFonts w:ascii="宋体" w:hAnsi="宋体" w:eastAsia="宋体"/>
                <w:szCs w:val="21"/>
              </w:rPr>
              <w:t>卵孵化盛期或低龄幼虫期</w:t>
            </w:r>
          </w:p>
        </w:tc>
        <w:tc>
          <w:tcPr>
            <w:tcW w:w="2835" w:type="dxa"/>
            <w:vAlign w:val="center"/>
          </w:tcPr>
          <w:p w14:paraId="4723CFFE">
            <w:pPr>
              <w:spacing w:line="360" w:lineRule="auto"/>
              <w:rPr>
                <w:rFonts w:hint="eastAsia" w:ascii="宋体" w:hAnsi="宋体" w:eastAsia="宋体"/>
                <w:szCs w:val="21"/>
              </w:rPr>
            </w:pPr>
            <w:r>
              <w:rPr>
                <w:rFonts w:ascii="宋体" w:hAnsi="宋体" w:eastAsia="宋体"/>
                <w:szCs w:val="21"/>
              </w:rPr>
              <w:t>20%</w:t>
            </w:r>
            <w:r>
              <w:rPr>
                <w:rFonts w:hint="eastAsia" w:ascii="宋体" w:hAnsi="宋体" w:eastAsia="宋体"/>
                <w:szCs w:val="21"/>
              </w:rPr>
              <w:t>灭幼脲悬浮剂</w:t>
            </w:r>
          </w:p>
        </w:tc>
        <w:tc>
          <w:tcPr>
            <w:tcW w:w="1985" w:type="dxa"/>
            <w:vAlign w:val="center"/>
          </w:tcPr>
          <w:p w14:paraId="43EF28A7">
            <w:pPr>
              <w:spacing w:line="360" w:lineRule="auto"/>
              <w:rPr>
                <w:rFonts w:hint="eastAsia" w:ascii="宋体" w:hAnsi="宋体" w:eastAsia="宋体"/>
                <w:szCs w:val="21"/>
              </w:rPr>
            </w:pPr>
            <w:r>
              <w:rPr>
                <w:rFonts w:ascii="宋体" w:hAnsi="宋体" w:eastAsia="宋体"/>
                <w:szCs w:val="21"/>
              </w:rPr>
              <w:t>1200～1600倍液</w:t>
            </w:r>
          </w:p>
        </w:tc>
        <w:tc>
          <w:tcPr>
            <w:tcW w:w="850" w:type="dxa"/>
            <w:vAlign w:val="center"/>
          </w:tcPr>
          <w:p w14:paraId="48F75F4A">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550F84CE">
            <w:pPr>
              <w:spacing w:line="360" w:lineRule="auto"/>
              <w:jc w:val="center"/>
              <w:rPr>
                <w:rFonts w:hint="eastAsia" w:ascii="宋体" w:hAnsi="宋体" w:eastAsia="宋体"/>
                <w:szCs w:val="21"/>
              </w:rPr>
            </w:pPr>
            <w:r>
              <w:rPr>
                <w:rFonts w:ascii="宋体" w:hAnsi="宋体" w:eastAsia="宋体"/>
                <w:szCs w:val="21"/>
              </w:rPr>
              <w:t>21</w:t>
            </w:r>
          </w:p>
        </w:tc>
      </w:tr>
      <w:tr w14:paraId="4B74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32234D33">
            <w:pPr>
              <w:spacing w:line="360" w:lineRule="auto"/>
              <w:rPr>
                <w:rFonts w:hint="eastAsia" w:ascii="宋体" w:hAnsi="宋体" w:eastAsia="宋体"/>
                <w:szCs w:val="21"/>
              </w:rPr>
            </w:pPr>
          </w:p>
        </w:tc>
        <w:tc>
          <w:tcPr>
            <w:tcW w:w="1701" w:type="dxa"/>
            <w:vMerge w:val="continue"/>
            <w:vAlign w:val="center"/>
          </w:tcPr>
          <w:p w14:paraId="0F557473">
            <w:pPr>
              <w:spacing w:line="360" w:lineRule="auto"/>
              <w:rPr>
                <w:rFonts w:hint="eastAsia" w:ascii="宋体" w:hAnsi="宋体" w:eastAsia="宋体"/>
                <w:szCs w:val="21"/>
              </w:rPr>
            </w:pPr>
          </w:p>
        </w:tc>
        <w:tc>
          <w:tcPr>
            <w:tcW w:w="2835" w:type="dxa"/>
            <w:vAlign w:val="center"/>
          </w:tcPr>
          <w:p w14:paraId="5C6107DD">
            <w:pPr>
              <w:spacing w:line="360" w:lineRule="auto"/>
              <w:rPr>
                <w:rFonts w:hint="eastAsia" w:ascii="宋体" w:hAnsi="宋体" w:eastAsia="宋体"/>
                <w:szCs w:val="21"/>
              </w:rPr>
            </w:pPr>
            <w:r>
              <w:rPr>
                <w:rFonts w:hint="eastAsia" w:ascii="宋体" w:hAnsi="宋体" w:eastAsia="宋体"/>
                <w:szCs w:val="21"/>
              </w:rPr>
              <w:t>35%氯虫苯甲酰胺水分散粒剂</w:t>
            </w:r>
          </w:p>
        </w:tc>
        <w:tc>
          <w:tcPr>
            <w:tcW w:w="1985" w:type="dxa"/>
            <w:vAlign w:val="center"/>
          </w:tcPr>
          <w:p w14:paraId="117789F2">
            <w:pPr>
              <w:spacing w:line="360" w:lineRule="auto"/>
              <w:rPr>
                <w:rFonts w:hint="eastAsia" w:ascii="宋体" w:hAnsi="宋体" w:eastAsia="宋体"/>
                <w:szCs w:val="21"/>
              </w:rPr>
            </w:pPr>
            <w:r>
              <w:rPr>
                <w:rFonts w:ascii="宋体" w:hAnsi="宋体" w:eastAsia="宋体"/>
                <w:szCs w:val="21"/>
              </w:rPr>
              <w:t>17500～25000倍液</w:t>
            </w:r>
          </w:p>
        </w:tc>
        <w:tc>
          <w:tcPr>
            <w:tcW w:w="850" w:type="dxa"/>
            <w:vAlign w:val="center"/>
          </w:tcPr>
          <w:p w14:paraId="31F3C888">
            <w:pPr>
              <w:spacing w:line="360" w:lineRule="auto"/>
              <w:rPr>
                <w:rFonts w:hint="eastAsia" w:ascii="宋体" w:hAnsi="宋体" w:eastAsia="宋体"/>
                <w:szCs w:val="21"/>
              </w:rPr>
            </w:pPr>
            <w:r>
              <w:rPr>
                <w:rFonts w:ascii="宋体" w:hAnsi="宋体" w:eastAsia="宋体"/>
                <w:szCs w:val="21"/>
              </w:rPr>
              <w:t>喷雾</w:t>
            </w:r>
          </w:p>
        </w:tc>
        <w:tc>
          <w:tcPr>
            <w:tcW w:w="1134" w:type="dxa"/>
            <w:vAlign w:val="center"/>
          </w:tcPr>
          <w:p w14:paraId="7060C50C">
            <w:pPr>
              <w:spacing w:line="360" w:lineRule="auto"/>
              <w:jc w:val="center"/>
              <w:rPr>
                <w:rFonts w:hint="eastAsia" w:ascii="宋体" w:hAnsi="宋体" w:eastAsia="宋体"/>
                <w:szCs w:val="21"/>
              </w:rPr>
            </w:pPr>
            <w:r>
              <w:rPr>
                <w:rFonts w:hint="eastAsia" w:ascii="宋体" w:hAnsi="宋体" w:eastAsia="宋体"/>
                <w:szCs w:val="21"/>
              </w:rPr>
              <w:t>14</w:t>
            </w:r>
          </w:p>
        </w:tc>
      </w:tr>
      <w:tr w14:paraId="4968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6" w:type="dxa"/>
            <w:gridSpan w:val="6"/>
            <w:vAlign w:val="center"/>
          </w:tcPr>
          <w:p w14:paraId="47D4CA7A">
            <w:pPr>
              <w:spacing w:line="360" w:lineRule="auto"/>
              <w:rPr>
                <w:rFonts w:hint="eastAsia" w:ascii="宋体" w:hAnsi="宋体" w:eastAsia="宋体"/>
                <w:szCs w:val="21"/>
              </w:rPr>
            </w:pPr>
            <w:r>
              <w:rPr>
                <w:rFonts w:hint="eastAsia" w:ascii="宋体" w:hAnsi="宋体" w:eastAsia="宋体"/>
                <w:szCs w:val="21"/>
              </w:rPr>
              <w:t>注：农药使用以最新版本NY/T 393的规定为准。</w:t>
            </w:r>
          </w:p>
        </w:tc>
      </w:tr>
    </w:tbl>
    <w:p w14:paraId="2D6C380E">
      <w:pPr>
        <w:spacing w:line="360" w:lineRule="auto"/>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1266">
    <w:pPr>
      <w:pStyle w:val="6"/>
      <w:jc w:val="right"/>
      <w:rPr>
        <w:rFonts w:hint="eastAsia" w:ascii="黑体" w:hAnsi="黑体" w:eastAsia="黑体"/>
        <w:sz w:val="21"/>
        <w:szCs w:val="21"/>
      </w:rPr>
    </w:pPr>
    <w:r>
      <w:rPr>
        <w:rFonts w:hint="eastAsia" w:ascii="黑体" w:hAnsi="黑体" w:eastAsia="黑体"/>
        <w:sz w:val="21"/>
        <w:szCs w:val="21"/>
      </w:rPr>
      <w:t>T/CGFAXXX-202X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76DE0"/>
    <w:multiLevelType w:val="multilevel"/>
    <w:tmpl w:val="4F676DE0"/>
    <w:lvl w:ilvl="0" w:tentative="0">
      <w:start w:val="1"/>
      <w:numFmt w:val="decimal"/>
      <w:lvlText w:val="%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CC"/>
    <w:rsid w:val="000367E1"/>
    <w:rsid w:val="00037BE9"/>
    <w:rsid w:val="0004307B"/>
    <w:rsid w:val="000453DA"/>
    <w:rsid w:val="00072037"/>
    <w:rsid w:val="0007302C"/>
    <w:rsid w:val="0008484B"/>
    <w:rsid w:val="00091057"/>
    <w:rsid w:val="00097D87"/>
    <w:rsid w:val="000A5757"/>
    <w:rsid w:val="000C3A1D"/>
    <w:rsid w:val="000F21BA"/>
    <w:rsid w:val="00100133"/>
    <w:rsid w:val="0011424D"/>
    <w:rsid w:val="00126F7C"/>
    <w:rsid w:val="00130537"/>
    <w:rsid w:val="00145262"/>
    <w:rsid w:val="001732AD"/>
    <w:rsid w:val="00177770"/>
    <w:rsid w:val="00195F3F"/>
    <w:rsid w:val="001964A2"/>
    <w:rsid w:val="001D0747"/>
    <w:rsid w:val="001E2545"/>
    <w:rsid w:val="001E436F"/>
    <w:rsid w:val="001E4504"/>
    <w:rsid w:val="001E49BF"/>
    <w:rsid w:val="001E7B14"/>
    <w:rsid w:val="001F5435"/>
    <w:rsid w:val="002017F3"/>
    <w:rsid w:val="002249CE"/>
    <w:rsid w:val="00277412"/>
    <w:rsid w:val="00284188"/>
    <w:rsid w:val="002A622C"/>
    <w:rsid w:val="002C53AB"/>
    <w:rsid w:val="002D727E"/>
    <w:rsid w:val="002F629C"/>
    <w:rsid w:val="003009D2"/>
    <w:rsid w:val="00301759"/>
    <w:rsid w:val="00314404"/>
    <w:rsid w:val="0031638D"/>
    <w:rsid w:val="003410DC"/>
    <w:rsid w:val="003578A2"/>
    <w:rsid w:val="00362AD7"/>
    <w:rsid w:val="00376B77"/>
    <w:rsid w:val="00377607"/>
    <w:rsid w:val="003818FA"/>
    <w:rsid w:val="00390A80"/>
    <w:rsid w:val="003A7002"/>
    <w:rsid w:val="003C385A"/>
    <w:rsid w:val="003C5DFC"/>
    <w:rsid w:val="003D2C7F"/>
    <w:rsid w:val="004200CF"/>
    <w:rsid w:val="004315E1"/>
    <w:rsid w:val="004324CB"/>
    <w:rsid w:val="004421B8"/>
    <w:rsid w:val="0046420D"/>
    <w:rsid w:val="004718B0"/>
    <w:rsid w:val="0048271D"/>
    <w:rsid w:val="00490A26"/>
    <w:rsid w:val="004B62CA"/>
    <w:rsid w:val="004C76BF"/>
    <w:rsid w:val="004E3BC5"/>
    <w:rsid w:val="0051165A"/>
    <w:rsid w:val="0051595E"/>
    <w:rsid w:val="0053627E"/>
    <w:rsid w:val="005377B1"/>
    <w:rsid w:val="005436A0"/>
    <w:rsid w:val="0055096C"/>
    <w:rsid w:val="00557844"/>
    <w:rsid w:val="005A71A9"/>
    <w:rsid w:val="005B5253"/>
    <w:rsid w:val="005B5378"/>
    <w:rsid w:val="005B5A3B"/>
    <w:rsid w:val="005E7811"/>
    <w:rsid w:val="005F0435"/>
    <w:rsid w:val="005F1E2F"/>
    <w:rsid w:val="006020E6"/>
    <w:rsid w:val="00604571"/>
    <w:rsid w:val="00620027"/>
    <w:rsid w:val="00624610"/>
    <w:rsid w:val="00651CC2"/>
    <w:rsid w:val="00686EED"/>
    <w:rsid w:val="006B70F4"/>
    <w:rsid w:val="006D5C49"/>
    <w:rsid w:val="006E4E5F"/>
    <w:rsid w:val="00721A6B"/>
    <w:rsid w:val="00757232"/>
    <w:rsid w:val="0075774D"/>
    <w:rsid w:val="0077010A"/>
    <w:rsid w:val="007728FA"/>
    <w:rsid w:val="0077411F"/>
    <w:rsid w:val="0077564A"/>
    <w:rsid w:val="00795ADB"/>
    <w:rsid w:val="007A6D3E"/>
    <w:rsid w:val="007C2A6F"/>
    <w:rsid w:val="007F08EB"/>
    <w:rsid w:val="007F1397"/>
    <w:rsid w:val="007F2BC4"/>
    <w:rsid w:val="008140A0"/>
    <w:rsid w:val="00867D3C"/>
    <w:rsid w:val="008A06B7"/>
    <w:rsid w:val="008A222F"/>
    <w:rsid w:val="009025D3"/>
    <w:rsid w:val="0091489B"/>
    <w:rsid w:val="00926E59"/>
    <w:rsid w:val="00947436"/>
    <w:rsid w:val="00952BA1"/>
    <w:rsid w:val="00964416"/>
    <w:rsid w:val="00976753"/>
    <w:rsid w:val="00992832"/>
    <w:rsid w:val="009951B0"/>
    <w:rsid w:val="00996860"/>
    <w:rsid w:val="009C7869"/>
    <w:rsid w:val="009F2712"/>
    <w:rsid w:val="00A015E0"/>
    <w:rsid w:val="00A163E7"/>
    <w:rsid w:val="00A2522D"/>
    <w:rsid w:val="00A26F00"/>
    <w:rsid w:val="00A40717"/>
    <w:rsid w:val="00A43C99"/>
    <w:rsid w:val="00A57868"/>
    <w:rsid w:val="00A7355D"/>
    <w:rsid w:val="00A82803"/>
    <w:rsid w:val="00AC0A43"/>
    <w:rsid w:val="00AC4068"/>
    <w:rsid w:val="00AD33F8"/>
    <w:rsid w:val="00AE1182"/>
    <w:rsid w:val="00B01F70"/>
    <w:rsid w:val="00B02880"/>
    <w:rsid w:val="00B16B13"/>
    <w:rsid w:val="00B23344"/>
    <w:rsid w:val="00B312E9"/>
    <w:rsid w:val="00B415E8"/>
    <w:rsid w:val="00B4185B"/>
    <w:rsid w:val="00B4292B"/>
    <w:rsid w:val="00B64532"/>
    <w:rsid w:val="00B70BDC"/>
    <w:rsid w:val="00B76B8B"/>
    <w:rsid w:val="00BA0BE4"/>
    <w:rsid w:val="00BE04B3"/>
    <w:rsid w:val="00BE55C7"/>
    <w:rsid w:val="00BF2AB7"/>
    <w:rsid w:val="00C06815"/>
    <w:rsid w:val="00C1303C"/>
    <w:rsid w:val="00C22D29"/>
    <w:rsid w:val="00C32C33"/>
    <w:rsid w:val="00C723C8"/>
    <w:rsid w:val="00C75AA2"/>
    <w:rsid w:val="00C75D47"/>
    <w:rsid w:val="00C83EB4"/>
    <w:rsid w:val="00C85EF8"/>
    <w:rsid w:val="00CD0F07"/>
    <w:rsid w:val="00CD23D0"/>
    <w:rsid w:val="00CD3908"/>
    <w:rsid w:val="00D20B0F"/>
    <w:rsid w:val="00D236B9"/>
    <w:rsid w:val="00D401ED"/>
    <w:rsid w:val="00D72133"/>
    <w:rsid w:val="00D80868"/>
    <w:rsid w:val="00D85C24"/>
    <w:rsid w:val="00DA22CE"/>
    <w:rsid w:val="00DB0819"/>
    <w:rsid w:val="00DC1E37"/>
    <w:rsid w:val="00DC25C0"/>
    <w:rsid w:val="00DC63D2"/>
    <w:rsid w:val="00DD12A7"/>
    <w:rsid w:val="00DD75F8"/>
    <w:rsid w:val="00DE01B4"/>
    <w:rsid w:val="00DE4CA2"/>
    <w:rsid w:val="00DE60B9"/>
    <w:rsid w:val="00E11F86"/>
    <w:rsid w:val="00E1627C"/>
    <w:rsid w:val="00E52F76"/>
    <w:rsid w:val="00E82C7A"/>
    <w:rsid w:val="00E9117F"/>
    <w:rsid w:val="00E9181A"/>
    <w:rsid w:val="00E963D8"/>
    <w:rsid w:val="00EA4799"/>
    <w:rsid w:val="00EB5FE1"/>
    <w:rsid w:val="00F25705"/>
    <w:rsid w:val="00F345B7"/>
    <w:rsid w:val="00F5168A"/>
    <w:rsid w:val="00F7378A"/>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A7F221C"/>
    <w:rsid w:val="0B9E444D"/>
    <w:rsid w:val="0CC2416B"/>
    <w:rsid w:val="0D562B05"/>
    <w:rsid w:val="0D645222"/>
    <w:rsid w:val="0E2F441C"/>
    <w:rsid w:val="0E8813E4"/>
    <w:rsid w:val="0EFD592E"/>
    <w:rsid w:val="0F44355D"/>
    <w:rsid w:val="0F91BC63"/>
    <w:rsid w:val="11561326"/>
    <w:rsid w:val="11AB78C4"/>
    <w:rsid w:val="12C549B5"/>
    <w:rsid w:val="12CA5B28"/>
    <w:rsid w:val="13117BF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719BE"/>
    <w:rsid w:val="2F633134"/>
    <w:rsid w:val="304C1E4D"/>
    <w:rsid w:val="30C96FC7"/>
    <w:rsid w:val="30EB33E1"/>
    <w:rsid w:val="311566B0"/>
    <w:rsid w:val="312B7C81"/>
    <w:rsid w:val="31D23FEB"/>
    <w:rsid w:val="32156AF6"/>
    <w:rsid w:val="324B718F"/>
    <w:rsid w:val="33240E2C"/>
    <w:rsid w:val="334119DE"/>
    <w:rsid w:val="335A484E"/>
    <w:rsid w:val="336B1DC0"/>
    <w:rsid w:val="3421711A"/>
    <w:rsid w:val="3451291A"/>
    <w:rsid w:val="352769B2"/>
    <w:rsid w:val="35DC779C"/>
    <w:rsid w:val="360C2E3B"/>
    <w:rsid w:val="365B073B"/>
    <w:rsid w:val="3784633D"/>
    <w:rsid w:val="386B4E07"/>
    <w:rsid w:val="39537D75"/>
    <w:rsid w:val="39B12CEE"/>
    <w:rsid w:val="39BF365D"/>
    <w:rsid w:val="39C72511"/>
    <w:rsid w:val="3A647D60"/>
    <w:rsid w:val="3A917BE9"/>
    <w:rsid w:val="3AB7E2C6"/>
    <w:rsid w:val="3BC96A15"/>
    <w:rsid w:val="3C3C0F95"/>
    <w:rsid w:val="3CE05DC4"/>
    <w:rsid w:val="3D2D05BA"/>
    <w:rsid w:val="3E7A794B"/>
    <w:rsid w:val="3EBF80DD"/>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BD969D"/>
    <w:rsid w:val="50016325"/>
    <w:rsid w:val="500530CB"/>
    <w:rsid w:val="519C4558"/>
    <w:rsid w:val="51FD18BA"/>
    <w:rsid w:val="526F5117"/>
    <w:rsid w:val="529945F3"/>
    <w:rsid w:val="52F21F55"/>
    <w:rsid w:val="552A59D6"/>
    <w:rsid w:val="55747599"/>
    <w:rsid w:val="55D75F51"/>
    <w:rsid w:val="562ECC18"/>
    <w:rsid w:val="56E35054"/>
    <w:rsid w:val="57FFF15E"/>
    <w:rsid w:val="583D3C73"/>
    <w:rsid w:val="58583623"/>
    <w:rsid w:val="597B2CA5"/>
    <w:rsid w:val="5A7D2A4C"/>
    <w:rsid w:val="5ADA1C4D"/>
    <w:rsid w:val="5AFA409D"/>
    <w:rsid w:val="5C6C2D78"/>
    <w:rsid w:val="5D7C2B5D"/>
    <w:rsid w:val="5DE0757A"/>
    <w:rsid w:val="5DE973E1"/>
    <w:rsid w:val="5E45329D"/>
    <w:rsid w:val="5EC073AC"/>
    <w:rsid w:val="5F526256"/>
    <w:rsid w:val="5F88611B"/>
    <w:rsid w:val="5FB7C6B6"/>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6B04C9"/>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97E0129"/>
    <w:rsid w:val="7A140880"/>
    <w:rsid w:val="7A7D1EC5"/>
    <w:rsid w:val="7A810ADB"/>
    <w:rsid w:val="7AFD7566"/>
    <w:rsid w:val="7B3D5BB4"/>
    <w:rsid w:val="7B445194"/>
    <w:rsid w:val="7B943312"/>
    <w:rsid w:val="7BF3FEE9"/>
    <w:rsid w:val="7C277F07"/>
    <w:rsid w:val="7C6453C2"/>
    <w:rsid w:val="7C7E0232"/>
    <w:rsid w:val="7CCB71F0"/>
    <w:rsid w:val="7CEA224B"/>
    <w:rsid w:val="7D2E3AC6"/>
    <w:rsid w:val="7D6A0567"/>
    <w:rsid w:val="7D92071E"/>
    <w:rsid w:val="7DA71A0B"/>
    <w:rsid w:val="7E1D3A7B"/>
    <w:rsid w:val="7E5C421F"/>
    <w:rsid w:val="7EB4618D"/>
    <w:rsid w:val="7EB746D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FBD77B"/>
    <w:rsid w:val="FA3F8995"/>
    <w:rsid w:val="FC5FC5F7"/>
    <w:rsid w:val="FDE32267"/>
    <w:rsid w:val="FDFB0C42"/>
    <w:rsid w:val="FEEB79D1"/>
    <w:rsid w:val="FEFE9955"/>
    <w:rsid w:val="FFBFBD73"/>
    <w:rsid w:val="FFD19EA3"/>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3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unhideWhenUsed/>
    <w:qFormat/>
    <w:uiPriority w:val="99"/>
    <w:pPr>
      <w:jc w:val="left"/>
    </w:pPr>
  </w:style>
  <w:style w:type="paragraph" w:styleId="4">
    <w:name w:val="Balloon Text"/>
    <w:basedOn w:val="1"/>
    <w:link w:val="26"/>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3"/>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customStyle="1" w:styleId="17">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8">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9">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0">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1">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2">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3">
    <w:name w:val="封面标准英文名称"/>
    <w:basedOn w:val="22"/>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4">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5">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6">
    <w:name w:val="批注框文本 字符"/>
    <w:basedOn w:val="11"/>
    <w:link w:val="4"/>
    <w:semiHidden/>
    <w:qFormat/>
    <w:uiPriority w:val="99"/>
    <w:rPr>
      <w:rFonts w:asciiTheme="minorHAnsi" w:hAnsiTheme="minorHAnsi" w:eastAsiaTheme="minorEastAsia" w:cstheme="minorBidi"/>
      <w:kern w:val="2"/>
      <w:sz w:val="18"/>
      <w:szCs w:val="18"/>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章标题"/>
    <w:next w:val="1"/>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1">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2">
    <w:name w:val="批注文字 字符"/>
    <w:basedOn w:val="11"/>
    <w:link w:val="3"/>
    <w:qFormat/>
    <w:uiPriority w:val="99"/>
    <w:rPr>
      <w:rFonts w:asciiTheme="minorHAnsi" w:hAnsiTheme="minorHAnsi" w:eastAsiaTheme="minorEastAsia" w:cstheme="minorBidi"/>
      <w:kern w:val="2"/>
      <w:sz w:val="21"/>
      <w:szCs w:val="22"/>
    </w:rPr>
  </w:style>
  <w:style w:type="character" w:customStyle="1" w:styleId="33">
    <w:name w:val="批注主题 字符"/>
    <w:basedOn w:val="32"/>
    <w:link w:val="8"/>
    <w:semiHidden/>
    <w:qFormat/>
    <w:uiPriority w:val="99"/>
    <w:rPr>
      <w:rFonts w:asciiTheme="minorHAnsi" w:hAnsiTheme="minorHAnsi" w:eastAsiaTheme="minorEastAsia" w:cstheme="minorBidi"/>
      <w:b/>
      <w:bCs/>
      <w:kern w:val="2"/>
      <w:sz w:val="21"/>
      <w:szCs w:val="22"/>
    </w:rPr>
  </w:style>
  <w:style w:type="character" w:customStyle="1" w:styleId="34">
    <w:name w:val="标题 4 字符"/>
    <w:basedOn w:val="11"/>
    <w:link w:val="2"/>
    <w:qFormat/>
    <w:uiPriority w:val="9"/>
    <w:rPr>
      <w:rFonts w:ascii="宋体" w:hAnsi="宋体" w:cs="宋体"/>
      <w:b/>
      <w:bCs/>
      <w:sz w:val="24"/>
      <w:szCs w:val="24"/>
    </w:rPr>
  </w:style>
  <w:style w:type="paragraph" w:customStyle="1" w:styleId="35">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paragraph" w:customStyle="1" w:styleId="36">
    <w:name w:val="列出段落1"/>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65A54936">
          <w:pPr>
            <w:pStyle w:val="4"/>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C61AA7"/>
    <w:rsid w:val="00107CCF"/>
    <w:rsid w:val="001223D9"/>
    <w:rsid w:val="001352C1"/>
    <w:rsid w:val="00217FB2"/>
    <w:rsid w:val="00252A62"/>
    <w:rsid w:val="002D3947"/>
    <w:rsid w:val="002D5006"/>
    <w:rsid w:val="00314404"/>
    <w:rsid w:val="003333C0"/>
    <w:rsid w:val="00342170"/>
    <w:rsid w:val="003471BC"/>
    <w:rsid w:val="003516C4"/>
    <w:rsid w:val="00470ACD"/>
    <w:rsid w:val="00517166"/>
    <w:rsid w:val="005251CF"/>
    <w:rsid w:val="005329DB"/>
    <w:rsid w:val="005410BE"/>
    <w:rsid w:val="0054598D"/>
    <w:rsid w:val="005B3148"/>
    <w:rsid w:val="00647DA4"/>
    <w:rsid w:val="007740C4"/>
    <w:rsid w:val="007E44E9"/>
    <w:rsid w:val="00844D40"/>
    <w:rsid w:val="008D1136"/>
    <w:rsid w:val="00926E59"/>
    <w:rsid w:val="009C7869"/>
    <w:rsid w:val="00A015E0"/>
    <w:rsid w:val="00B1217C"/>
    <w:rsid w:val="00B77821"/>
    <w:rsid w:val="00BD60DB"/>
    <w:rsid w:val="00BF2AB7"/>
    <w:rsid w:val="00BF62F7"/>
    <w:rsid w:val="00C40E52"/>
    <w:rsid w:val="00C61AA7"/>
    <w:rsid w:val="00CD43EF"/>
    <w:rsid w:val="00D01B5A"/>
    <w:rsid w:val="00D80868"/>
    <w:rsid w:val="00DD75F8"/>
    <w:rsid w:val="00E471FB"/>
    <w:rsid w:val="00EE320C"/>
    <w:rsid w:val="00F031E0"/>
    <w:rsid w:val="00F363AE"/>
    <w:rsid w:val="00F75B69"/>
    <w:rsid w:val="00F97C50"/>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12</Pages>
  <Words>7304</Words>
  <Characters>8600</Characters>
  <Lines>66</Lines>
  <Paragraphs>18</Paragraphs>
  <TotalTime>51</TotalTime>
  <ScaleCrop>false</ScaleCrop>
  <LinksUpToDate>false</LinksUpToDate>
  <CharactersWithSpaces>8819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2026-03-19T08:24:00Z</dcterms:created>
  <dc:creator>志成</dc:creator>
  <cp:lastModifiedBy>房正</cp:lastModifiedBy>
  <cp:lastPrinted>2025-04-08T07:06:00Z</cp:lastPrinted>
  <dcterms:modified xsi:type="dcterms:W3CDTF">2026-04-15T03:17:05Z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A7E4157A81AB420B964E5D21DA0C6C63_13</vt:lpwstr>
  </property>
  <property fmtid="{D5CDD505-2E9C-101B-9397-08002B2CF9AE}" pid="4" name="KSOTemplateDocerSaveRecord">
    <vt:lpwstr>eyJoZGlkIjoiMGUyOGZlMzdlZWEyMGFlYzc0ZWE1MGJlZjA4NmY3NTMiLCJ1c2VySWQiOiIyNzM3NDc2MDMifQ==</vt:lpwstr>
  </property>
</Properties>
</file>