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9100"/>
        <w:gridCol w:w="7"/>
      </w:tblGrid>
      <w:tr w14:paraId="0CFB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63" w:type="dxa"/>
          </w:tcPr>
          <w:p w14:paraId="1C250920">
            <w:pPr>
              <w:pStyle w:val="34"/>
              <w:rPr>
                <w:rFonts w:hint="default"/>
              </w:rPr>
            </w:pPr>
            <w:r>
              <w:t>ICS</w:t>
            </w:r>
          </w:p>
        </w:tc>
        <w:tc>
          <w:tcPr>
            <w:tcW w:w="9107" w:type="dxa"/>
            <w:gridSpan w:val="2"/>
          </w:tcPr>
          <w:p w14:paraId="52A132F1">
            <w:pPr>
              <w:pStyle w:val="34"/>
              <w:rPr>
                <w:rFonts w:hint="default"/>
              </w:rPr>
            </w:pPr>
          </w:p>
        </w:tc>
      </w:tr>
      <w:tr w14:paraId="17DE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3" w:type="dxa"/>
          </w:tcPr>
          <w:p w14:paraId="4A663E35">
            <w:pPr>
              <w:pStyle w:val="34"/>
              <w:rPr>
                <w:rFonts w:hint="default"/>
              </w:rPr>
            </w:pPr>
            <w:r>
              <w:t>CCS</w:t>
            </w:r>
          </w:p>
        </w:tc>
        <w:tc>
          <w:tcPr>
            <w:tcW w:w="9107" w:type="dxa"/>
            <w:gridSpan w:val="2"/>
          </w:tcPr>
          <w:tbl>
            <w:tblPr>
              <w:tblStyle w:val="11"/>
              <w:tblpPr w:vertAnchor="page" w:horzAnchor="margin" w:tblpXSpec="right" w:tblpY="114"/>
              <w:tblOverlap w:val="never"/>
              <w:tblW w:w="6662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662"/>
            </w:tblGrid>
            <w:tr w14:paraId="2144A2D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81" w:hRule="atLeast"/>
              </w:trPr>
              <w:tc>
                <w:tcPr>
                  <w:tcW w:w="9107" w:type="dxa"/>
                  <w:vAlign w:val="center"/>
                </w:tcPr>
                <w:p w14:paraId="3A931BC2">
                  <w:pPr>
                    <w:pStyle w:val="34"/>
                    <w:ind w:firstLine="2764"/>
                    <w:jc w:val="right"/>
                    <w:rPr>
                      <w:rFonts w:hint="default" w:ascii="Times New Roman" w:eastAsia="宋体"/>
                      <w:b/>
                      <w:w w:val="130"/>
                      <w:kern w:val="0"/>
                    </w:rPr>
                  </w:pPr>
                  <w:r>
                    <w:rPr>
                      <w:rFonts w:hint="default" w:hAnsi="黑体" w:cs="楷体"/>
                      <w:b/>
                      <w:w w:val="130"/>
                      <w:kern w:val="0"/>
                      <w:sz w:val="96"/>
                    </w:rPr>
                    <w:t>T/CGFA</w:t>
                  </w:r>
                </w:p>
              </w:tc>
            </w:tr>
          </w:tbl>
          <w:p w14:paraId="175E2DFC">
            <w:pPr>
              <w:pStyle w:val="34"/>
              <w:rPr>
                <w:rFonts w:hint="default"/>
              </w:rPr>
            </w:pPr>
          </w:p>
        </w:tc>
      </w:tr>
      <w:tr w14:paraId="207A8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</w:trPr>
        <w:tc>
          <w:tcPr>
            <w:tcW w:w="9563" w:type="dxa"/>
            <w:gridSpan w:val="2"/>
          </w:tcPr>
          <w:p w14:paraId="082397DE">
            <w:pPr>
              <w:pStyle w:val="35"/>
              <w:rPr>
                <w:szCs w:val="21"/>
              </w:rPr>
            </w:pPr>
            <w:r>
              <w:rPr>
                <w:rFonts w:hint="eastAsia"/>
              </w:rPr>
              <w:t>中国绿色食品协会团体标准</w:t>
            </w:r>
          </w:p>
        </w:tc>
      </w:tr>
    </w:tbl>
    <w:p w14:paraId="5C627921">
      <w:pPr>
        <w:pStyle w:val="36"/>
        <w:framePr w:x="1470" w:y="3511"/>
        <w:rPr>
          <w:rFonts w:hint="default" w:eastAsia="黑体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T/CGFA</w:t>
      </w: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XXXX</w:t>
      </w:r>
      <w:r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hint="eastAsia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2026</w:t>
      </w:r>
    </w:p>
    <w:p w14:paraId="41B72331">
      <w:pPr>
        <w:pStyle w:val="36"/>
        <w:framePr w:x="1470" w:y="3511"/>
        <w:rPr>
          <w:rFonts w:hint="defaul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11"/>
        <w:tblW w:w="97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1"/>
      </w:tblGrid>
      <w:tr w14:paraId="4DD6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741" w:type="dxa"/>
            <w:tcBorders>
              <w:top w:val="single" w:color="auto" w:sz="8" w:space="0"/>
            </w:tcBorders>
          </w:tcPr>
          <w:p w14:paraId="287C0D78">
            <w:pPr>
              <w:pStyle w:val="37"/>
              <w:rPr>
                <w:rFonts w:hint="default"/>
                <w:sz w:val="10"/>
              </w:rPr>
            </w:pPr>
          </w:p>
        </w:tc>
      </w:tr>
    </w:tbl>
    <w:p w14:paraId="33DB7D2B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697994F4">
      <w:pPr>
        <w:pStyle w:val="24"/>
        <w:spacing w:beforeLines="50" w:afterLines="50" w:line="360" w:lineRule="auto"/>
        <w:ind w:left="0" w:leftChars="0" w:firstLine="0" w:firstLineChars="0"/>
        <w:contextualSpacing/>
        <w:jc w:val="both"/>
        <w:rPr>
          <w:rFonts w:ascii="黑体" w:hAnsi="黑体" w:eastAsia="黑体" w:cs="宋体"/>
          <w:sz w:val="18"/>
          <w:szCs w:val="18"/>
        </w:rPr>
      </w:pPr>
    </w:p>
    <w:p w14:paraId="3A121A98">
      <w:pPr>
        <w:pStyle w:val="24"/>
        <w:spacing w:beforeLines="50" w:afterLines="50" w:line="360" w:lineRule="auto"/>
        <w:ind w:left="220" w:firstLine="0" w:firstLineChars="0"/>
        <w:contextualSpacing/>
        <w:jc w:val="both"/>
        <w:rPr>
          <w:rFonts w:ascii="黑体" w:hAnsi="黑体" w:eastAsia="黑体" w:cs="宋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绿色食品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 xml:space="preserve"> 福建地区</w:t>
      </w:r>
      <w:r>
        <w:rPr>
          <w:rFonts w:hint="eastAsia" w:ascii="黑体" w:hAnsi="黑体" w:eastAsia="黑体" w:cs="宋体"/>
          <w:sz w:val="48"/>
          <w:szCs w:val="48"/>
          <w:lang w:val="en-US" w:eastAsia="zh-CN"/>
        </w:rPr>
        <w:t>乌龙茶</w:t>
      </w:r>
      <w:r>
        <w:rPr>
          <w:rFonts w:hint="eastAsia" w:ascii="黑体" w:hAnsi="黑体" w:eastAsia="黑体"/>
          <w:sz w:val="48"/>
          <w:szCs w:val="48"/>
        </w:rPr>
        <w:t>生产操作规程</w:t>
      </w:r>
    </w:p>
    <w:p w14:paraId="4BE48939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28"/>
          <w:szCs w:val="28"/>
        </w:rPr>
      </w:pPr>
      <w:r>
        <w:rPr>
          <w:rStyle w:val="13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Code of Practice for Green Food Oolong Tea Production in Fujian Region</w:t>
      </w:r>
    </w:p>
    <w:p w14:paraId="787DE50A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0B06C79D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 w:cs="宋体"/>
          <w:sz w:val="32"/>
          <w:szCs w:val="32"/>
        </w:rPr>
      </w:pPr>
    </w:p>
    <w:p w14:paraId="16BD22AE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hint="eastAsia" w:ascii="黑体" w:hAnsi="黑体" w:eastAsia="黑体" w:cs="宋体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sz w:val="36"/>
          <w:szCs w:val="36"/>
          <w:lang w:eastAsia="zh-CN"/>
        </w:rPr>
        <w:t>（</w:t>
      </w: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征求意见稿</w:t>
      </w:r>
      <w:r>
        <w:rPr>
          <w:rFonts w:hint="eastAsia" w:ascii="黑体" w:hAnsi="黑体" w:eastAsia="黑体" w:cs="宋体"/>
          <w:sz w:val="36"/>
          <w:szCs w:val="36"/>
          <w:lang w:eastAsia="zh-CN"/>
        </w:rPr>
        <w:t>）</w:t>
      </w:r>
    </w:p>
    <w:p w14:paraId="1A26E198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7B88005B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33082546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tbl>
      <w:tblPr>
        <w:tblStyle w:val="11"/>
        <w:tblW w:w="1048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4"/>
        <w:gridCol w:w="5508"/>
      </w:tblGrid>
      <w:tr w14:paraId="66BA4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</w:trPr>
        <w:tc>
          <w:tcPr>
            <w:tcW w:w="4974" w:type="dxa"/>
            <w:tcBorders>
              <w:bottom w:val="single" w:color="auto" w:sz="8" w:space="0"/>
            </w:tcBorders>
            <w:tcMar>
              <w:left w:w="57" w:type="dxa"/>
              <w:bottom w:w="28" w:type="dxa"/>
            </w:tcMar>
          </w:tcPr>
          <w:p w14:paraId="4E4F0114">
            <w:pPr>
              <w:pStyle w:val="38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xxxx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发布</w:t>
            </w:r>
          </w:p>
        </w:tc>
        <w:tc>
          <w:tcPr>
            <w:tcW w:w="5508" w:type="dxa"/>
            <w:tcBorders>
              <w:bottom w:val="single" w:color="auto" w:sz="8" w:space="0"/>
            </w:tcBorders>
            <w:tcMar>
              <w:right w:w="57" w:type="dxa"/>
            </w:tcMar>
          </w:tcPr>
          <w:p w14:paraId="62290409">
            <w:pPr>
              <w:pStyle w:val="38"/>
              <w:ind w:right="1120"/>
              <w:jc w:val="right"/>
              <w:rPr>
                <w:rFonts w:hint="default"/>
              </w:rPr>
            </w:pPr>
            <w:r>
              <w:t xml:space="preserve">    </w:t>
            </w:r>
            <w:r>
              <w:rPr>
                <w:rFonts w:hint="eastAsia"/>
                <w:lang w:val="en-US" w:eastAsia="zh-CN"/>
              </w:rPr>
              <w:t>xxxx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</w:t>
            </w:r>
            <w:r>
              <w:rPr>
                <w:rFonts w:ascii="宋体" w:hAnsi="宋体" w:eastAsia="宋体" w:cs="宋体"/>
              </w:rPr>
              <w:t>–</w:t>
            </w:r>
            <w:r>
              <w:t xml:space="preserve"> </w:t>
            </w:r>
            <w:r>
              <w:rPr>
                <w:rFonts w:hint="eastAsia"/>
                <w:lang w:val="en-US" w:eastAsia="zh-CN"/>
              </w:rPr>
              <w:t>xx</w:t>
            </w:r>
            <w:r>
              <w:t xml:space="preserve"> 实施</w:t>
            </w:r>
          </w:p>
        </w:tc>
      </w:tr>
    </w:tbl>
    <w:p w14:paraId="0F20CC09">
      <w:pPr>
        <w:framePr w:w="7433" w:h="584" w:hRule="exact" w:hSpace="181" w:vSpace="181" w:wrap="around" w:vAnchor="page" w:hAnchor="margin" w:xAlign="center" w:y="15151" w:anchorLock="1"/>
        <w:widowControl/>
        <w:spacing w:line="0" w:lineRule="atLeast"/>
        <w:jc w:val="center"/>
        <w:rPr>
          <w:rFonts w:ascii="黑体" w:hAnsi="黑体" w:eastAsia="黑体" w:cs="Times New Roman"/>
          <w:kern w:val="0"/>
          <w:sz w:val="44"/>
          <w:szCs w:val="44"/>
        </w:rPr>
      </w:pPr>
      <w:r>
        <w:rPr>
          <w:rFonts w:ascii="黑体" w:hAnsi="黑体" w:eastAsia="黑体" w:cs="Times New Roman"/>
          <w:spacing w:val="20"/>
          <w:kern w:val="0"/>
          <w:sz w:val="44"/>
          <w:szCs w:val="44"/>
        </w:rPr>
        <w:t>中国绿色食品协会</w:t>
      </w:r>
      <w:r>
        <w:rPr>
          <w:rFonts w:ascii="黑体" w:hAnsi="黑体" w:eastAsia="黑体" w:cs="Times New Roman"/>
          <w:kern w:val="0"/>
          <w:sz w:val="44"/>
          <w:szCs w:val="44"/>
        </w:rPr>
        <w:t xml:space="preserve">    </w:t>
      </w:r>
      <w:r>
        <w:rPr>
          <w:rFonts w:ascii="黑体" w:hAnsi="黑体" w:eastAsia="黑体" w:cs="Times New Roman"/>
          <w:kern w:val="0"/>
          <w:sz w:val="36"/>
          <w:szCs w:val="36"/>
        </w:rPr>
        <w:t>发布</w:t>
      </w:r>
    </w:p>
    <w:p w14:paraId="6B3BD6A3">
      <w:pPr>
        <w:tabs>
          <w:tab w:val="center" w:pos="4308"/>
          <w:tab w:val="left" w:pos="5280"/>
        </w:tabs>
        <w:jc w:val="both"/>
        <w:rPr>
          <w:rFonts w:eastAsia="黑体"/>
          <w:sz w:val="32"/>
          <w:szCs w:val="32"/>
        </w:rPr>
      </w:pPr>
    </w:p>
    <w:p w14:paraId="13EEAF5C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4B5D7D27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2E41951E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0D1212D0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4A6B611F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4B11535C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前    言</w:t>
      </w:r>
    </w:p>
    <w:p w14:paraId="0F607C3F">
      <w:pPr>
        <w:tabs>
          <w:tab w:val="center" w:pos="4308"/>
          <w:tab w:val="left" w:pos="5280"/>
        </w:tabs>
        <w:jc w:val="center"/>
        <w:rPr>
          <w:rFonts w:eastAsia="黑体"/>
          <w:sz w:val="32"/>
          <w:szCs w:val="32"/>
        </w:rPr>
      </w:pPr>
    </w:p>
    <w:p w14:paraId="104E47CC">
      <w:pPr>
        <w:pStyle w:val="24"/>
        <w:spacing w:beforeLines="50" w:afterLines="50" w:line="400" w:lineRule="atLeast"/>
        <w:ind w:firstLine="420"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本文件按照 GB/T 1.1-2020《标准化工作导则  第1部分：标准化文件的结构和起草规则》的规则起草。</w:t>
      </w:r>
    </w:p>
    <w:p w14:paraId="3B430212">
      <w:pPr>
        <w:pStyle w:val="24"/>
        <w:spacing w:beforeLines="50" w:afterLines="50" w:line="400" w:lineRule="atLeast"/>
        <w:ind w:firstLine="420"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请注意本文件的某些内容可能涉及专利，本文件的发布机构不承担识别专利的责任。</w:t>
      </w:r>
    </w:p>
    <w:p w14:paraId="572B70E9">
      <w:pPr>
        <w:pStyle w:val="24"/>
        <w:spacing w:beforeLines="50" w:afterLines="50" w:line="400" w:lineRule="atLeast"/>
        <w:ind w:firstLine="420"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本文件由中国绿色食品发展中心提出。</w:t>
      </w:r>
    </w:p>
    <w:p w14:paraId="18143B15">
      <w:pPr>
        <w:pStyle w:val="24"/>
        <w:spacing w:beforeLines="50" w:afterLines="50" w:line="400" w:lineRule="atLeast"/>
        <w:ind w:firstLine="420" w:firstLineChars="200"/>
        <w:contextualSpacing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本文件由中国绿色食品协会归口。</w:t>
      </w:r>
    </w:p>
    <w:p w14:paraId="37E6A641">
      <w:pPr>
        <w:pStyle w:val="24"/>
        <w:spacing w:beforeLines="50" w:afterLines="50" w:line="400" w:lineRule="atLeast"/>
        <w:ind w:firstLine="420" w:firstLineChars="200"/>
        <w:contextualSpacing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本</w:t>
      </w:r>
      <w:r>
        <w:rPr>
          <w:rFonts w:hint="eastAsia" w:ascii="宋体" w:hAnsi="宋体" w:eastAsia="宋体" w:cs="宋体"/>
          <w:lang w:eastAsia="zh-CN"/>
        </w:rPr>
        <w:t>文件</w:t>
      </w:r>
      <w:r>
        <w:rPr>
          <w:rFonts w:hint="eastAsia" w:ascii="宋体" w:hAnsi="宋体" w:eastAsia="宋体" w:cs="宋体"/>
        </w:rPr>
        <w:t>起草单位：</w:t>
      </w:r>
      <w:r>
        <w:rPr>
          <w:rFonts w:hint="eastAsia" w:ascii="宋体" w:hAnsi="宋体" w:cs="宋体"/>
          <w:lang w:val="en-US" w:eastAsia="zh-CN"/>
        </w:rPr>
        <w:t>*</w:t>
      </w:r>
    </w:p>
    <w:p w14:paraId="486603DB">
      <w:pPr>
        <w:spacing w:line="360" w:lineRule="auto"/>
        <w:ind w:firstLine="420" w:firstLineChars="200"/>
        <w:rPr>
          <w:rFonts w:hint="eastAsia" w:ascii="宋体" w:eastAsia="宋体"/>
          <w:lang w:val="en-US" w:eastAsia="zh-CN"/>
        </w:rPr>
      </w:pPr>
      <w:r>
        <w:rPr>
          <w:rFonts w:hint="eastAsia" w:ascii="宋体" w:hAnsi="宋体"/>
        </w:rPr>
        <w:t>本</w:t>
      </w:r>
      <w:r>
        <w:rPr>
          <w:rFonts w:hint="eastAsia" w:ascii="宋体" w:hAnsi="宋体"/>
          <w:lang w:eastAsia="zh-CN"/>
        </w:rPr>
        <w:t>文件</w:t>
      </w:r>
      <w:r>
        <w:rPr>
          <w:rFonts w:hint="eastAsia" w:ascii="宋体" w:hAnsi="宋体"/>
        </w:rPr>
        <w:t>主要起草人：</w:t>
      </w:r>
      <w:r>
        <w:rPr>
          <w:rFonts w:hint="eastAsia" w:ascii="宋体" w:hAnsi="宋体"/>
          <w:lang w:val="en-US" w:eastAsia="zh-CN"/>
        </w:rPr>
        <w:t>*</w:t>
      </w:r>
    </w:p>
    <w:p w14:paraId="51E7B6C9">
      <w:pPr>
        <w:spacing w:line="400" w:lineRule="exact"/>
        <w:ind w:left="420"/>
        <w:rPr>
          <w:rFonts w:ascii="宋体"/>
        </w:rPr>
      </w:pPr>
    </w:p>
    <w:p w14:paraId="1531794B">
      <w:pPr>
        <w:spacing w:line="400" w:lineRule="exact"/>
        <w:rPr>
          <w:rFonts w:ascii="宋体"/>
        </w:rPr>
      </w:pPr>
    </w:p>
    <w:p w14:paraId="62CE5E82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0F6A0281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17DA5CCC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2023B355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3C953EC8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2E7041B3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11AB571B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580A9415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7930C8A4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宋体" w:cs="宋体"/>
          <w:sz w:val="36"/>
          <w:szCs w:val="36"/>
        </w:rPr>
      </w:pPr>
    </w:p>
    <w:p w14:paraId="175B63B3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/>
          <w:sz w:val="32"/>
          <w:szCs w:val="32"/>
        </w:rPr>
      </w:pPr>
    </w:p>
    <w:p w14:paraId="135E9BEA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/>
          <w:sz w:val="32"/>
          <w:szCs w:val="32"/>
        </w:rPr>
      </w:pPr>
    </w:p>
    <w:p w14:paraId="3A64688B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/>
          <w:sz w:val="32"/>
          <w:szCs w:val="32"/>
        </w:rPr>
      </w:pPr>
    </w:p>
    <w:p w14:paraId="650E16B3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/>
          <w:sz w:val="32"/>
          <w:szCs w:val="32"/>
        </w:rPr>
      </w:pPr>
    </w:p>
    <w:p w14:paraId="10A238FD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7057E3E6">
      <w:pPr>
        <w:pStyle w:val="24"/>
        <w:spacing w:beforeLines="50" w:afterLines="50" w:line="400" w:lineRule="atLeast"/>
        <w:ind w:left="357" w:firstLine="0" w:firstLineChars="0"/>
        <w:contextualSpacing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绿色食品</w:t>
      </w:r>
      <w:r>
        <w:rPr>
          <w:rFonts w:hint="eastAsia" w:eastAsia="黑体"/>
          <w:sz w:val="32"/>
          <w:szCs w:val="32"/>
          <w:lang w:val="en-US" w:eastAsia="zh-CN"/>
        </w:rPr>
        <w:t xml:space="preserve"> 福建地区</w:t>
      </w:r>
      <w:r>
        <w:rPr>
          <w:rFonts w:hint="default" w:ascii="Times New Roman" w:hAnsi="Times New Roman" w:eastAsia="黑体"/>
          <w:sz w:val="32"/>
          <w:szCs w:val="32"/>
          <w:lang w:eastAsia="zh-CN"/>
        </w:rPr>
        <w:t>乌龙茶</w:t>
      </w:r>
      <w:r>
        <w:rPr>
          <w:rFonts w:hint="default" w:ascii="Times New Roman" w:hAnsi="Times New Roman" w:eastAsia="黑体"/>
          <w:sz w:val="32"/>
          <w:szCs w:val="32"/>
        </w:rPr>
        <w:t>生产操作规程</w:t>
      </w:r>
    </w:p>
    <w:p w14:paraId="0BC0378A">
      <w:pPr>
        <w:pStyle w:val="24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</w:p>
    <w:p w14:paraId="4C079FE4">
      <w:pPr>
        <w:pStyle w:val="24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1</w:t>
      </w:r>
      <w:r>
        <w:rPr>
          <w:rFonts w:hint="default" w:ascii="Times New Roman" w:hAnsi="Times New Roman" w:eastAsia="黑体" w:cs="Times New Roman"/>
        </w:rPr>
        <w:t xml:space="preserve"> 范围</w:t>
      </w:r>
    </w:p>
    <w:p w14:paraId="2B7C2A40">
      <w:pPr>
        <w:pStyle w:val="24"/>
        <w:spacing w:line="380" w:lineRule="exact"/>
        <w:contextualSpacing/>
        <w:rPr>
          <w:rFonts w:ascii="Times New Roman" w:cs="Times New Roman"/>
          <w:kern w:val="0"/>
        </w:rPr>
      </w:pPr>
      <w:r>
        <w:rPr>
          <w:rFonts w:hint="default" w:ascii="Times New Roman" w:hAnsi="Times New Roman" w:cs="Times New Roman"/>
          <w:kern w:val="0"/>
        </w:rPr>
        <w:t>本规程规定了</w:t>
      </w:r>
      <w:r>
        <w:rPr>
          <w:rFonts w:hint="default" w:ascii="Times New Roman" w:hAnsi="Times New Roman" w:cs="Times New Roman"/>
          <w:kern w:val="0"/>
          <w:lang w:eastAsia="zh-CN"/>
        </w:rPr>
        <w:t>福建地区</w:t>
      </w:r>
      <w:r>
        <w:rPr>
          <w:rFonts w:hint="default" w:ascii="Times New Roman" w:hAnsi="Times New Roman" w:cs="Times New Roman"/>
          <w:kern w:val="0"/>
        </w:rPr>
        <w:t>绿色食品</w:t>
      </w:r>
      <w:r>
        <w:rPr>
          <w:rFonts w:hint="default" w:ascii="Times New Roman" w:hAnsi="Times New Roman" w:cs="Times New Roman"/>
          <w:kern w:val="0"/>
          <w:lang w:eastAsia="zh-CN"/>
        </w:rPr>
        <w:t>乌龙茶</w:t>
      </w:r>
      <w:r>
        <w:rPr>
          <w:rFonts w:hint="default" w:ascii="Times New Roman" w:hAnsi="Times New Roman" w:cs="Times New Roman"/>
          <w:kern w:val="0"/>
        </w:rPr>
        <w:t>生产的产地环境、茶园规划与建设、品种及茶苗选择、茶树种植、树冠管理、土壤管理与施肥、</w:t>
      </w:r>
      <w:r>
        <w:rPr>
          <w:rFonts w:hint="eastAsia" w:cs="Times New Roman"/>
          <w:kern w:val="0"/>
          <w:lang w:eastAsia="zh-CN"/>
        </w:rPr>
        <w:t>病虫草害防治</w:t>
      </w:r>
      <w:r>
        <w:rPr>
          <w:rFonts w:hint="default" w:ascii="Times New Roman" w:hAnsi="Times New Roman" w:cs="Times New Roman"/>
          <w:kern w:val="0"/>
        </w:rPr>
        <w:t>、鲜叶采摘、茶叶加工、生产废弃物的处理、包装、储藏和运输及生产档案。</w:t>
      </w:r>
    </w:p>
    <w:p w14:paraId="167763EB">
      <w:pPr>
        <w:pStyle w:val="24"/>
        <w:spacing w:line="380" w:lineRule="exact"/>
        <w:contextualSpacing/>
        <w:rPr>
          <w:rFonts w:ascii="Times New Roman"/>
        </w:rPr>
      </w:pPr>
      <w:r>
        <w:rPr>
          <w:rFonts w:hint="default" w:ascii="Times New Roman" w:hAnsi="Times New Roman" w:cs="Times New Roman"/>
          <w:kern w:val="0"/>
        </w:rPr>
        <w:t>本规程适用于</w:t>
      </w:r>
      <w:r>
        <w:rPr>
          <w:rFonts w:hint="default" w:ascii="Times New Roman" w:hAnsi="Times New Roman" w:cs="Times New Roman"/>
          <w:kern w:val="0"/>
          <w:lang w:eastAsia="zh-CN"/>
        </w:rPr>
        <w:t>福建地区</w:t>
      </w:r>
      <w:r>
        <w:rPr>
          <w:rFonts w:hint="default" w:ascii="Times New Roman" w:hAnsi="Times New Roman" w:cs="Times New Roman"/>
          <w:kern w:val="0"/>
        </w:rPr>
        <w:t>的绿色食品</w:t>
      </w:r>
      <w:r>
        <w:rPr>
          <w:rFonts w:hint="default" w:ascii="Times New Roman" w:hAnsi="Times New Roman" w:cs="Times New Roman"/>
          <w:kern w:val="0"/>
          <w:lang w:eastAsia="zh-CN"/>
        </w:rPr>
        <w:t>乌龙茶</w:t>
      </w:r>
      <w:r>
        <w:rPr>
          <w:rFonts w:hint="default" w:ascii="Times New Roman" w:hAnsi="Times New Roman" w:cs="Times New Roman"/>
          <w:kern w:val="0"/>
        </w:rPr>
        <w:t>生产。</w:t>
      </w:r>
    </w:p>
    <w:p w14:paraId="3C5A26B4">
      <w:pPr>
        <w:pStyle w:val="24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2</w:t>
      </w:r>
      <w:r>
        <w:rPr>
          <w:rFonts w:hint="default" w:ascii="Times New Roman" w:hAnsi="Times New Roman" w:eastAsia="黑体" w:cs="Times New Roman"/>
        </w:rPr>
        <w:t xml:space="preserve"> 规范性引用文件</w:t>
      </w:r>
    </w:p>
    <w:p w14:paraId="7DAE6177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49BE8F34">
      <w:pPr>
        <w:pStyle w:val="24"/>
        <w:spacing w:line="380" w:lineRule="exact"/>
        <w:contextualSpacing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GB 2763 食品中农药最大残留限量</w:t>
      </w:r>
    </w:p>
    <w:p w14:paraId="3B219CEF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GB 7718 预包装食品标签通则</w:t>
      </w:r>
    </w:p>
    <w:p w14:paraId="5FA71484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GB 11767 茶树种苗</w:t>
      </w:r>
    </w:p>
    <w:p w14:paraId="3DBA49B3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GB14881 食品生产通用卫生规范</w:t>
      </w:r>
    </w:p>
    <w:p w14:paraId="0AEFE0AD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GB/T 32744 茶叶加工良好规范</w:t>
      </w:r>
    </w:p>
    <w:p w14:paraId="19A22C8E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NY/T 288  绿色食品  茶叶</w:t>
      </w:r>
    </w:p>
    <w:p w14:paraId="7FA48AD2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NY/T 391 绿色食品 产地环境质量</w:t>
      </w:r>
    </w:p>
    <w:p w14:paraId="6F5FB48A">
      <w:pPr>
        <w:pStyle w:val="24"/>
        <w:spacing w:line="380" w:lineRule="exact"/>
        <w:contextualSpacing/>
        <w:rPr>
          <w:rFonts w:hint="eastAsia" w:eastAsia="宋体"/>
          <w:lang w:eastAsia="zh-CN"/>
        </w:rPr>
      </w:pPr>
      <w:r>
        <w:rPr>
          <w:rFonts w:hint="default"/>
        </w:rPr>
        <w:t>NY/T 39</w:t>
      </w:r>
      <w:r>
        <w:rPr>
          <w:rFonts w:hint="eastAsia"/>
          <w:lang w:val="en-US" w:eastAsia="zh-CN"/>
        </w:rPr>
        <w:t>2</w:t>
      </w:r>
      <w:r>
        <w:rPr>
          <w:rFonts w:hint="default"/>
        </w:rPr>
        <w:t xml:space="preserve"> 绿色食品 </w:t>
      </w:r>
      <w:r>
        <w:rPr>
          <w:rFonts w:hint="eastAsia"/>
          <w:lang w:eastAsia="zh-CN"/>
        </w:rPr>
        <w:t>食品添加剂使用准则</w:t>
      </w:r>
    </w:p>
    <w:p w14:paraId="797407ED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NY/T 393 绿色食品 农药使用准则</w:t>
      </w:r>
    </w:p>
    <w:p w14:paraId="6A59A686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NY/T 394 绿色食品 肥料使用准则</w:t>
      </w:r>
    </w:p>
    <w:p w14:paraId="67FF572D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>NY/T 658 绿色食品 包装通用准则</w:t>
      </w:r>
    </w:p>
    <w:p w14:paraId="67E58A95">
      <w:pPr>
        <w:pStyle w:val="24"/>
        <w:spacing w:line="380" w:lineRule="exact"/>
        <w:contextualSpacing/>
        <w:rPr>
          <w:rFonts w:hint="default"/>
        </w:rPr>
      </w:pPr>
      <w:r>
        <w:rPr>
          <w:rFonts w:hint="eastAsia"/>
          <w:lang w:val="en-US" w:eastAsia="zh-CN"/>
        </w:rPr>
        <w:t>NY/T 853 茶叶产地环境技术条件</w:t>
      </w:r>
    </w:p>
    <w:p w14:paraId="45F25714">
      <w:pPr>
        <w:pStyle w:val="24"/>
        <w:spacing w:line="380" w:lineRule="exact"/>
        <w:contextualSpacing/>
        <w:rPr>
          <w:rFonts w:hint="default"/>
        </w:rPr>
      </w:pPr>
      <w:r>
        <w:rPr>
          <w:rFonts w:hint="default"/>
        </w:rPr>
        <w:t xml:space="preserve">NY/T 1056 绿色食品 </w:t>
      </w:r>
      <w:r>
        <w:rPr>
          <w:rFonts w:hint="default" w:ascii="Times New Roman" w:cs="Times New Roman"/>
          <w:lang w:eastAsia="zh-CN"/>
        </w:rPr>
        <w:t>储</w:t>
      </w:r>
      <w:r>
        <w:rPr>
          <w:rFonts w:hint="default"/>
        </w:rPr>
        <w:t>藏运输准则</w:t>
      </w:r>
    </w:p>
    <w:p w14:paraId="2714ED6B">
      <w:pPr>
        <w:pStyle w:val="24"/>
        <w:spacing w:line="380" w:lineRule="exact"/>
        <w:contextualSpacing/>
        <w:rPr>
          <w:rFonts w:hint="eastAsia" w:eastAsia="宋体"/>
          <w:lang w:eastAsia="zh-CN"/>
        </w:rPr>
      </w:pPr>
      <w:r>
        <w:rPr>
          <w:rFonts w:hint="default"/>
        </w:rPr>
        <w:t xml:space="preserve">NY/T </w:t>
      </w:r>
      <w:r>
        <w:rPr>
          <w:rFonts w:hint="eastAsia"/>
          <w:lang w:val="en-US" w:eastAsia="zh-CN"/>
        </w:rPr>
        <w:t>5197</w:t>
      </w:r>
      <w:r>
        <w:rPr>
          <w:rFonts w:hint="default"/>
        </w:rPr>
        <w:t xml:space="preserve"> </w:t>
      </w:r>
      <w:r>
        <w:rPr>
          <w:rFonts w:hint="eastAsia"/>
          <w:lang w:eastAsia="zh-CN"/>
        </w:rPr>
        <w:t>有机茶生产技术规程</w:t>
      </w:r>
    </w:p>
    <w:p w14:paraId="0D4001B9">
      <w:pPr>
        <w:pStyle w:val="24"/>
        <w:spacing w:line="380" w:lineRule="exact"/>
        <w:ind w:firstLine="0" w:firstLineChars="0"/>
        <w:contextualSpacing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3</w:t>
      </w:r>
      <w:r>
        <w:rPr>
          <w:rFonts w:hint="default" w:ascii="Times New Roman" w:hAnsi="Times New Roman" w:eastAsia="黑体" w:cs="Times New Roman"/>
        </w:rPr>
        <w:t xml:space="preserve"> 产地环境</w:t>
      </w:r>
    </w:p>
    <w:p w14:paraId="0E647496">
      <w:pPr>
        <w:pStyle w:val="24"/>
        <w:spacing w:line="380" w:lineRule="exact"/>
        <w:contextualSpacing/>
        <w:rPr>
          <w:rFonts w:ascii="Times New Roman" w:cs="Times New Roman"/>
        </w:rPr>
      </w:pPr>
      <w:r>
        <w:rPr>
          <w:rFonts w:hint="eastAsia" w:cs="Times New Roman"/>
          <w:lang w:eastAsia="zh-CN"/>
        </w:rPr>
        <w:t>茶园</w:t>
      </w:r>
      <w:r>
        <w:rPr>
          <w:rFonts w:hint="default"/>
        </w:rPr>
        <w:t>产地环境质量应符合NY/T 391的规定。</w:t>
      </w:r>
      <w:r>
        <w:rPr>
          <w:rFonts w:hint="eastAsia"/>
          <w:lang w:eastAsia="zh-CN"/>
        </w:rPr>
        <w:t>绿色食品乌龙茶生产应</w:t>
      </w:r>
      <w:r>
        <w:rPr>
          <w:rFonts w:hint="default"/>
        </w:rPr>
        <w:t>选择生态环境良好、无污染的地区，远离工矿区、公路铁路干线和生活区。产地应距离公路、铁路、生活区50 m以上，距离工矿企业1 km以上，确保上风向和灌水上游无污染源。产地与常规生产区农田间设置缓冲隔离带，宽度8 m左右</w:t>
      </w:r>
      <w:r>
        <w:rPr>
          <w:rFonts w:hint="eastAsia"/>
          <w:lang w:eastAsia="zh-CN"/>
        </w:rPr>
        <w:t>。</w:t>
      </w:r>
    </w:p>
    <w:p w14:paraId="26D5F82A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 xml:space="preserve">4 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茶园规划与建设</w:t>
      </w:r>
    </w:p>
    <w:p w14:paraId="7ED57B37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4.1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园地选择</w:t>
      </w:r>
    </w:p>
    <w:p w14:paraId="4169C2B2">
      <w:pPr>
        <w:pStyle w:val="24"/>
        <w:spacing w:line="380" w:lineRule="exact"/>
        <w:ind w:firstLine="420"/>
        <w:contextualSpacing/>
        <w:rPr>
          <w:rFonts w:hint="default" w:ascii="Times New Roman"/>
          <w:color w:val="000000"/>
        </w:rPr>
      </w:pPr>
      <w:r>
        <w:rPr>
          <w:rFonts w:hint="default" w:ascii="Times New Roman"/>
        </w:rPr>
        <w:t>茶园宜选在平地或坡度25度以内的山地，土壤为红壤、黄壤或沙质壤土，要求土壤微酸性，pH 4.0～6.5，土层厚度1 m以上，地下水位1 m以下，土质结构良好，无污染，富含有机质。</w:t>
      </w:r>
    </w:p>
    <w:p w14:paraId="22CD8FD8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4.2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道路设置</w:t>
      </w:r>
    </w:p>
    <w:p w14:paraId="43D2ACA2">
      <w:pPr>
        <w:pStyle w:val="24"/>
        <w:spacing w:line="380" w:lineRule="exact"/>
        <w:ind w:firstLine="420"/>
        <w:contextualSpacing/>
        <w:rPr>
          <w:color w:val="000000"/>
        </w:rPr>
      </w:pPr>
      <w:r>
        <w:t>依据园地规模设置主干道、支道与步行道</w:t>
      </w:r>
      <w:r>
        <w:rPr>
          <w:color w:val="000000"/>
        </w:rPr>
        <w:t>。</w:t>
      </w:r>
    </w:p>
    <w:p w14:paraId="401D6999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4.3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水利系统</w:t>
      </w:r>
    </w:p>
    <w:p w14:paraId="79CE9C12">
      <w:pPr>
        <w:pStyle w:val="24"/>
        <w:spacing w:line="380" w:lineRule="exact"/>
        <w:ind w:firstLine="420"/>
        <w:contextualSpacing/>
        <w:rPr>
          <w:color w:val="000000"/>
        </w:rPr>
      </w:pPr>
      <w:r>
        <w:rPr>
          <w:color w:val="000000"/>
        </w:rPr>
        <w:t>茶园排灌系统设置时应统筹安排，合理设计，平地茶园以排水沟为主，坡地及梯地茶园以蓄水沟为主，做到遇涝能排，遇旱能灌，路路相连，沟渠相通。</w:t>
      </w:r>
    </w:p>
    <w:p w14:paraId="56964C6A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5 品种及茶苗选择</w:t>
      </w:r>
    </w:p>
    <w:p w14:paraId="4BD73445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5.1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选择原则</w:t>
      </w:r>
    </w:p>
    <w:p w14:paraId="146A1F3A">
      <w:pPr>
        <w:pStyle w:val="24"/>
        <w:spacing w:line="380" w:lineRule="exact"/>
        <w:ind w:firstLine="420"/>
        <w:contextualSpacing/>
        <w:rPr>
          <w:rFonts w:hint="eastAsia" w:eastAsia="宋体"/>
          <w:color w:val="000000"/>
          <w:lang w:eastAsia="zh-CN"/>
        </w:rPr>
      </w:pPr>
      <w:r>
        <w:t>选择适应当地气候条件，适合加工乌龙茶产品，抗性较强的</w:t>
      </w:r>
      <w:r>
        <w:rPr>
          <w:color w:val="000000"/>
        </w:rPr>
        <w:t>高产优质茶树品种。</w:t>
      </w:r>
      <w:r>
        <w:rPr>
          <w:rFonts w:hint="eastAsia"/>
          <w:color w:val="000000"/>
          <w:lang w:eastAsia="zh-CN"/>
        </w:rPr>
        <w:t>例如：水仙、梅占、奇兰、黄观音、金观音、春闺、金牡丹、黄玫瑰、肉桂等品种。</w:t>
      </w:r>
    </w:p>
    <w:p w14:paraId="584D99E0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5.2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品种选择与搭配</w:t>
      </w:r>
    </w:p>
    <w:p w14:paraId="6DDB3DE6">
      <w:pPr>
        <w:pStyle w:val="24"/>
        <w:spacing w:line="380" w:lineRule="exact"/>
        <w:ind w:firstLine="420"/>
        <w:contextualSpacing/>
        <w:rPr>
          <w:rFonts w:hint="default" w:ascii="Times New Roman"/>
          <w:color w:val="000000"/>
        </w:rPr>
      </w:pPr>
      <w:r>
        <w:rPr>
          <w:rFonts w:hint="default" w:ascii="Times New Roman"/>
          <w:color w:val="000000"/>
        </w:rPr>
        <w:t>茶树品种质量应符合GB 11767规定的要求，要求</w:t>
      </w:r>
      <w:r>
        <w:rPr>
          <w:rFonts w:hint="default" w:ascii="Times New Roman"/>
          <w:color w:val="000000"/>
          <w:kern w:val="0"/>
        </w:rPr>
        <w:t>达到一、二级苗标准，且茶苗规格基本一致</w:t>
      </w:r>
      <w:r>
        <w:rPr>
          <w:rFonts w:hint="default" w:ascii="Times New Roman"/>
          <w:color w:val="000000"/>
        </w:rPr>
        <w:t>并经植物检疫部门检疫合格，实行早、中、晚品种合理搭配。</w:t>
      </w:r>
    </w:p>
    <w:p w14:paraId="60972D7B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6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茶树种植</w:t>
      </w:r>
    </w:p>
    <w:p w14:paraId="49F3CC5A">
      <w:pPr>
        <w:pStyle w:val="24"/>
        <w:spacing w:line="380" w:lineRule="exact"/>
        <w:ind w:firstLine="0" w:firstLineChars="0"/>
        <w:contextualSpacing/>
        <w:rPr>
          <w:rFonts w:eastAsia="黑体"/>
          <w:color w:val="000000"/>
        </w:rPr>
      </w:pPr>
      <w:r>
        <w:rPr>
          <w:rFonts w:eastAsia="黑体"/>
          <w:color w:val="000000"/>
        </w:rPr>
        <w:t>6.1</w:t>
      </w:r>
      <w:r>
        <w:rPr>
          <w:rFonts w:hint="default" w:eastAsia="黑体"/>
          <w:color w:val="000000"/>
        </w:rPr>
        <w:t>　</w:t>
      </w:r>
      <w:r>
        <w:rPr>
          <w:rFonts w:eastAsia="黑体"/>
          <w:color w:val="000000"/>
        </w:rPr>
        <w:t>定植时间</w:t>
      </w:r>
    </w:p>
    <w:p w14:paraId="24B8BFAD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10月下旬～12月上旬、2～3月初为宜。</w:t>
      </w:r>
    </w:p>
    <w:p w14:paraId="75B5DB7B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6.2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定植规格</w:t>
      </w:r>
    </w:p>
    <w:p w14:paraId="31363C68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6.2.1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单行条植</w:t>
      </w:r>
    </w:p>
    <w:p w14:paraId="0308C3EE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 xml:space="preserve">一般缓坡平地茶园和梯地茶园以单行条植为主，一般行距150 cm～180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，株距20 cm～33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，每穴1～3株。</w:t>
      </w:r>
    </w:p>
    <w:p w14:paraId="430C7622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6.2.2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双行条植</w:t>
      </w:r>
    </w:p>
    <w:p w14:paraId="48B7F6FE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梯田茶园宜采用双行条植，</w:t>
      </w:r>
      <w:r>
        <w:rPr>
          <w:rFonts w:hint="default" w:ascii="Times New Roman" w:hAnsi="Times New Roman"/>
        </w:rPr>
        <w:t>大行距</w:t>
      </w:r>
      <w:r>
        <w:rPr>
          <w:rFonts w:hint="default" w:ascii="Times New Roman" w:hAnsi="Times New Roman"/>
          <w:color w:val="000000"/>
          <w:kern w:val="0"/>
        </w:rPr>
        <w:t xml:space="preserve">120 cm～150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，</w:t>
      </w:r>
      <w:r>
        <w:rPr>
          <w:rFonts w:hint="default" w:ascii="Times New Roman" w:hAnsi="Times New Roman"/>
        </w:rPr>
        <w:t>小行距26 cm</w:t>
      </w:r>
      <w:r>
        <w:rPr>
          <w:rFonts w:hint="default" w:ascii="Times New Roman" w:hAnsi="Times New Roman"/>
          <w:color w:val="000000"/>
          <w:kern w:val="0"/>
        </w:rPr>
        <w:t>～</w:t>
      </w:r>
      <w:r>
        <w:rPr>
          <w:rFonts w:hint="default" w:ascii="Times New Roman" w:hAnsi="Times New Roman"/>
        </w:rPr>
        <w:t>33 cm，</w:t>
      </w:r>
      <w:r>
        <w:rPr>
          <w:rFonts w:hint="default" w:ascii="Times New Roman" w:hAnsi="Times New Roman"/>
          <w:color w:val="000000"/>
          <w:kern w:val="0"/>
        </w:rPr>
        <w:t xml:space="preserve">丛（株）距均30 cm～35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，每穴2～3株。</w:t>
      </w:r>
    </w:p>
    <w:p w14:paraId="1C2DE319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6.</w:t>
      </w:r>
      <w:r>
        <w:rPr>
          <w:rFonts w:hint="default" w:ascii="Times New Roman" w:hAnsi="Times New Roman" w:eastAsia="黑体"/>
          <w:color w:val="000000"/>
          <w:kern w:val="0"/>
        </w:rPr>
        <w:t>3　</w:t>
      </w:r>
      <w:r>
        <w:rPr>
          <w:rFonts w:ascii="Times New Roman" w:hAnsi="Times New Roman" w:eastAsia="黑体"/>
          <w:color w:val="000000"/>
          <w:kern w:val="0"/>
        </w:rPr>
        <w:t>定植方式</w:t>
      </w:r>
    </w:p>
    <w:p w14:paraId="089B93B7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</w:rPr>
        <w:t>种植前施足底肥，以有机肥和矿物源肥料为主，底肥深度在40 cm〜50 cm。</w:t>
      </w:r>
      <w:r>
        <w:rPr>
          <w:rFonts w:hint="default" w:ascii="Times New Roman" w:hAnsi="Times New Roman"/>
          <w:color w:val="000000"/>
          <w:kern w:val="0"/>
        </w:rPr>
        <w:t>移栽时，先用黄泥浆蘸茶苗根部，分级把茶苗分放在穴中，一边分发一边种植，</w:t>
      </w:r>
      <w:r>
        <w:rPr>
          <w:rFonts w:hint="default" w:ascii="Times New Roman" w:hAnsi="Times New Roman"/>
        </w:rPr>
        <w:t>茶苗定植的深度以根颈部入土4.5 cm〜6 cm为宜，根系离底肥10 cm以上。</w:t>
      </w:r>
      <w:r>
        <w:rPr>
          <w:rFonts w:hint="default" w:ascii="Times New Roman" w:hAnsi="Times New Roman"/>
          <w:color w:val="000000"/>
          <w:kern w:val="0"/>
        </w:rPr>
        <w:t>移栽定植后最好及时铺草覆盖，防旱保苗。覆盖材料可用青草、稻草、秸杆等，每亩用量1000 kg～1300 kg。</w:t>
      </w:r>
    </w:p>
    <w:p w14:paraId="50500658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树冠管理</w:t>
      </w:r>
    </w:p>
    <w:p w14:paraId="55343BED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7.1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定型修剪</w:t>
      </w:r>
    </w:p>
    <w:p w14:paraId="22128C9C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7.1.1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第一次定型修剪</w:t>
      </w:r>
    </w:p>
    <w:p w14:paraId="31FDA841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 xml:space="preserve">在茶苗达到2足龄时进行，如果茶苗生长良好，可在1足龄时进行，但必须达到以下要求：茎粗（离地表5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处测量）超过0.3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，苗高达到25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，有1～2个分枝，80%的茶苗达到以上标准，便可对该茶园进行第一次定型修剪。修剪方法：用整枝剪在离地面15 cm～20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处剪去主枝，侧枝不剪。凡不符合第一次定型修剪标准的茶苗不剪，留待第二年达标后再剪。</w:t>
      </w:r>
    </w:p>
    <w:p w14:paraId="4E293CCF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7.1.2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第二次定型修剪</w:t>
      </w:r>
    </w:p>
    <w:p w14:paraId="6BEF4976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一般在第一次定型修剪的次年，此时</w:t>
      </w:r>
      <w:r>
        <w:rPr>
          <w:rFonts w:hint="eastAsia" w:ascii="Times New Roman" w:hAnsi="Times New Roman"/>
          <w:color w:val="000000"/>
          <w:kern w:val="0"/>
          <w:lang w:eastAsia="zh-CN"/>
        </w:rPr>
        <w:t>茶</w:t>
      </w:r>
      <w:r>
        <w:rPr>
          <w:rFonts w:hint="default" w:ascii="Times New Roman" w:hAnsi="Times New Roman"/>
          <w:color w:val="000000"/>
          <w:kern w:val="0"/>
        </w:rPr>
        <w:t xml:space="preserve">树高应达到40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，剪口高度为离地25 cm～30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，即在第一次定型修剪的基础上，提高10 cm～15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。如茶</w:t>
      </w:r>
      <w:r>
        <w:rPr>
          <w:rFonts w:hint="eastAsia" w:ascii="Times New Roman" w:hAnsi="Times New Roman"/>
          <w:color w:val="000000"/>
          <w:kern w:val="0"/>
          <w:lang w:eastAsia="zh-CN"/>
        </w:rPr>
        <w:t>树</w:t>
      </w:r>
      <w:r>
        <w:rPr>
          <w:rFonts w:hint="default" w:ascii="Times New Roman" w:hAnsi="Times New Roman"/>
          <w:color w:val="000000"/>
          <w:kern w:val="0"/>
        </w:rPr>
        <w:t>高度不达标，适当推迟修剪时间。</w:t>
      </w:r>
    </w:p>
    <w:p w14:paraId="6DAFBD67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7.1.3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第三次定型修剪</w:t>
      </w:r>
    </w:p>
    <w:p w14:paraId="7AB51F39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 xml:space="preserve">在第二次修剪后一年时进行，修剪高度在上次剪口基础上提高10 cm～15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。用篱剪或弧型修剪机剪成弧型树冠。茶树经三次定型修剪后，茶树高度一般在50 cm～60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 xml:space="preserve">，树幅可达70 cm～80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，就可以开始轻采留养。</w:t>
      </w:r>
    </w:p>
    <w:p w14:paraId="46F75B8F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7.2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轻修剪</w:t>
      </w:r>
    </w:p>
    <w:p w14:paraId="33E539A7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 xml:space="preserve">轻修剪对象为成龄茶园。每年可进行1～2次，时间宜在春茶后5月上中旬、秋末10月下旬～11月中旬进行，用篱剪剪去树冠面3 cm～5 </w:t>
      </w:r>
      <w:r>
        <w:rPr>
          <w:rFonts w:hint="default" w:ascii="Times New Roman" w:hAnsi="Times New Roman"/>
          <w:color w:val="000000"/>
        </w:rPr>
        <w:t>cm</w:t>
      </w:r>
      <w:r>
        <w:rPr>
          <w:rFonts w:hint="default" w:ascii="Times New Roman" w:hAnsi="Times New Roman"/>
          <w:color w:val="000000"/>
          <w:kern w:val="0"/>
        </w:rPr>
        <w:t>的枝叶，把冠面突出枝、晚秋新梢剪除。</w:t>
      </w:r>
    </w:p>
    <w:p w14:paraId="19221DF5">
      <w:pPr>
        <w:autoSpaceDE w:val="0"/>
        <w:autoSpaceDN w:val="0"/>
        <w:adjustRightInd w:val="0"/>
        <w:spacing w:line="380" w:lineRule="exact"/>
        <w:rPr>
          <w:rFonts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7</w:t>
      </w:r>
      <w:r>
        <w:rPr>
          <w:rFonts w:hint="default" w:ascii="Times New Roman" w:hAnsi="Times New Roman" w:eastAsia="黑体"/>
          <w:color w:val="000000"/>
          <w:kern w:val="0"/>
        </w:rPr>
        <w:t>.3 深修剪</w:t>
      </w:r>
    </w:p>
    <w:p w14:paraId="1F882C5E">
      <w:pPr>
        <w:autoSpaceDE w:val="0"/>
        <w:autoSpaceDN w:val="0"/>
        <w:adjustRightInd w:val="0"/>
        <w:spacing w:line="380" w:lineRule="exact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 xml:space="preserve">    深修剪对象为成年茶树。用</w:t>
      </w:r>
      <w:r>
        <w:rPr>
          <w:rFonts w:hint="default" w:ascii="Times New Roman" w:hAnsi="Times New Roman"/>
        </w:rPr>
        <w:t>平剪或带弧形剪，剪去树冠表面鸡爪枝、细弱枝及病虫枝，修剪深度为离树冠表面15 cm</w:t>
      </w:r>
      <w:r>
        <w:rPr>
          <w:rFonts w:hint="default" w:ascii="Times New Roman" w:hAnsi="Times New Roman"/>
          <w:color w:val="000000"/>
          <w:kern w:val="0"/>
        </w:rPr>
        <w:t>～</w:t>
      </w:r>
      <w:r>
        <w:rPr>
          <w:rFonts w:hint="default" w:ascii="Times New Roman" w:hAnsi="Times New Roman"/>
        </w:rPr>
        <w:t>30 cm。</w:t>
      </w:r>
    </w:p>
    <w:p w14:paraId="1D1E2449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</w:t>
      </w:r>
      <w:r>
        <w:rPr>
          <w:rFonts w:hint="default" w:ascii="Times New Roman" w:hAnsi="Times New Roman" w:eastAsia="黑体"/>
          <w:color w:val="000000"/>
          <w:kern w:val="0"/>
        </w:rPr>
        <w:t>4　</w:t>
      </w:r>
      <w:r>
        <w:rPr>
          <w:rFonts w:ascii="Times New Roman" w:hAnsi="Times New Roman" w:eastAsia="黑体"/>
          <w:color w:val="000000"/>
          <w:kern w:val="0"/>
        </w:rPr>
        <w:t>重修剪</w:t>
      </w:r>
    </w:p>
    <w:p w14:paraId="32E22D95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</w:rPr>
        <w:t>剪去树高的1/2或略多一些，留下离地面高度30 cm～45 cm主要骨干枝，剪后留养，定剪2 次，每次提高10 cm。剪口平滑，忌撕裂树皮，</w:t>
      </w:r>
      <w:r>
        <w:rPr>
          <w:rFonts w:hint="default" w:ascii="Times New Roman" w:hAnsi="Times New Roman"/>
          <w:color w:val="000000"/>
          <w:kern w:val="0"/>
        </w:rPr>
        <w:t>一般在早春或春茶后进行。</w:t>
      </w:r>
    </w:p>
    <w:p w14:paraId="5F437F27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7.</w:t>
      </w:r>
      <w:r>
        <w:rPr>
          <w:rFonts w:hint="default" w:ascii="Times New Roman" w:hAnsi="Times New Roman" w:eastAsia="黑体"/>
          <w:color w:val="000000"/>
          <w:kern w:val="0"/>
        </w:rPr>
        <w:t>5　</w:t>
      </w:r>
      <w:r>
        <w:rPr>
          <w:rFonts w:ascii="Times New Roman" w:hAnsi="Times New Roman" w:eastAsia="黑体"/>
          <w:color w:val="000000"/>
          <w:kern w:val="0"/>
        </w:rPr>
        <w:t>台刈</w:t>
      </w:r>
    </w:p>
    <w:p w14:paraId="1F7D2CCF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</w:rPr>
        <w:t>剪去离地面5 cm～10 cm地上部分全部枝干，若根茎部有更新枝的应留数枝枝梢。</w:t>
      </w:r>
      <w:r>
        <w:rPr>
          <w:rFonts w:hint="default" w:ascii="Times New Roman" w:hAnsi="Times New Roman"/>
          <w:color w:val="000000"/>
          <w:kern w:val="0"/>
        </w:rPr>
        <w:t>一般在早春或春茶后进行。</w:t>
      </w:r>
    </w:p>
    <w:p w14:paraId="72760ED3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8  土壤管理与施肥</w:t>
      </w:r>
    </w:p>
    <w:p w14:paraId="7370EFDE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8.1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土壤耕作</w:t>
      </w:r>
    </w:p>
    <w:p w14:paraId="7BB6C567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8.</w:t>
      </w:r>
      <w:r>
        <w:rPr>
          <w:rFonts w:hint="default" w:ascii="Times New Roman" w:hAnsi="Times New Roman" w:eastAsia="黑体"/>
          <w:color w:val="000000"/>
          <w:kern w:val="0"/>
        </w:rPr>
        <w:t>1</w:t>
      </w:r>
      <w:r>
        <w:rPr>
          <w:rFonts w:ascii="Times New Roman" w:hAnsi="Times New Roman" w:eastAsia="黑体"/>
          <w:color w:val="000000"/>
          <w:kern w:val="0"/>
        </w:rPr>
        <w:t>.1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深耕翻土</w:t>
      </w:r>
    </w:p>
    <w:p w14:paraId="643CE290">
      <w:pPr>
        <w:spacing w:line="380" w:lineRule="exact"/>
        <w:ind w:firstLine="420" w:firstLineChars="200"/>
        <w:rPr>
          <w:rFonts w:hint="default" w:ascii="Times New Roman" w:hAnsi="Times New Roman"/>
          <w:color w:val="000000"/>
        </w:rPr>
      </w:pPr>
      <w:r>
        <w:rPr>
          <w:rFonts w:hint="default" w:ascii="Times New Roman" w:hAnsi="Times New Roman"/>
          <w:color w:val="000000"/>
          <w:kern w:val="0"/>
        </w:rPr>
        <w:t>茶园</w:t>
      </w:r>
      <w:r>
        <w:rPr>
          <w:rFonts w:hint="default" w:ascii="Times New Roman" w:hAnsi="Times New Roman"/>
          <w:color w:val="000000"/>
        </w:rPr>
        <w:t>深翻每年或隔年一次，在9月底～11月秋茶结束后进行，翻耕深度为20 cm～30 cm。</w:t>
      </w:r>
    </w:p>
    <w:p w14:paraId="658E0B3E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8.</w:t>
      </w:r>
      <w:r>
        <w:rPr>
          <w:rFonts w:hint="default" w:ascii="Times New Roman" w:hAnsi="Times New Roman" w:eastAsia="黑体"/>
          <w:color w:val="000000"/>
          <w:kern w:val="0"/>
        </w:rPr>
        <w:t>1</w:t>
      </w:r>
      <w:r>
        <w:rPr>
          <w:rFonts w:ascii="Times New Roman" w:hAnsi="Times New Roman" w:eastAsia="黑体"/>
          <w:color w:val="000000"/>
          <w:kern w:val="0"/>
        </w:rPr>
        <w:t>.2 浅耕除草</w:t>
      </w:r>
    </w:p>
    <w:p w14:paraId="37BE1A05">
      <w:pPr>
        <w:spacing w:line="380" w:lineRule="exact"/>
        <w:ind w:firstLine="420" w:firstLineChars="200"/>
        <w:rPr>
          <w:rFonts w:hint="default" w:ascii="Times New Roman" w:hAnsi="Times New Roman"/>
          <w:color w:val="000000"/>
        </w:rPr>
      </w:pPr>
      <w:r>
        <w:rPr>
          <w:rFonts w:hint="default" w:ascii="Times New Roman" w:hAnsi="Times New Roman"/>
          <w:color w:val="000000"/>
        </w:rPr>
        <w:t>在春茶前（2 月下旬～3 月上旬）、夏茶前（5 月下旬）和夏秋季（7～9 月上旬）进行，深度5 cm～10 cm。</w:t>
      </w:r>
    </w:p>
    <w:p w14:paraId="06992A3A">
      <w:pPr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8.</w:t>
      </w:r>
      <w:r>
        <w:rPr>
          <w:rFonts w:hint="default" w:ascii="Times New Roman" w:hAnsi="Times New Roman" w:eastAsia="黑体"/>
          <w:color w:val="000000"/>
          <w:kern w:val="0"/>
        </w:rPr>
        <w:t>2</w:t>
      </w:r>
      <w:r>
        <w:rPr>
          <w:rFonts w:ascii="Times New Roman" w:hAnsi="Times New Roman" w:eastAsia="黑体"/>
          <w:color w:val="000000"/>
          <w:kern w:val="0"/>
        </w:rPr>
        <w:t>　</w:t>
      </w:r>
      <w:r>
        <w:rPr>
          <w:rFonts w:hint="default" w:ascii="Times New Roman" w:hAnsi="Times New Roman" w:eastAsia="黑体"/>
          <w:color w:val="000000"/>
          <w:kern w:val="0"/>
        </w:rPr>
        <w:t>施肥</w:t>
      </w:r>
    </w:p>
    <w:p w14:paraId="358E6168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8.</w:t>
      </w:r>
      <w:r>
        <w:rPr>
          <w:rFonts w:hint="default" w:ascii="Times New Roman" w:hAnsi="Times New Roman" w:eastAsia="黑体"/>
          <w:color w:val="000000"/>
          <w:kern w:val="0"/>
        </w:rPr>
        <w:t>2</w:t>
      </w:r>
      <w:r>
        <w:rPr>
          <w:rFonts w:ascii="Times New Roman" w:hAnsi="Times New Roman" w:eastAsia="黑体"/>
          <w:color w:val="000000"/>
          <w:kern w:val="0"/>
        </w:rPr>
        <w:t xml:space="preserve">.1 施肥原则     </w:t>
      </w:r>
    </w:p>
    <w:p w14:paraId="5DCAED88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肥料种类及使用应符合</w:t>
      </w:r>
      <w:r>
        <w:rPr>
          <w:rFonts w:hint="default" w:ascii="Times New Roman" w:hAnsi="Times New Roman"/>
          <w:color w:val="000000"/>
        </w:rPr>
        <w:t>NY/T 394的规定。</w:t>
      </w:r>
    </w:p>
    <w:p w14:paraId="55BDEB55">
      <w:pPr>
        <w:pStyle w:val="39"/>
        <w:spacing w:beforeLines="0" w:afterLines="0" w:line="360" w:lineRule="auto"/>
        <w:ind w:left="0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/>
          <w:color w:val="000000"/>
        </w:rPr>
        <w:t>8.</w:t>
      </w:r>
      <w:r>
        <w:rPr>
          <w:rFonts w:hint="default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.2</w:t>
      </w:r>
      <w:r>
        <w:rPr>
          <w:rFonts w:hint="default" w:ascii="Times New Roman" w:hAnsi="Times New Roman" w:cs="Times New Roman"/>
          <w:bCs/>
          <w:kern w:val="2"/>
        </w:rPr>
        <w:t>基肥</w:t>
      </w:r>
    </w:p>
    <w:p w14:paraId="19F7883F">
      <w:pPr>
        <w:spacing w:line="500" w:lineRule="exact"/>
        <w:rPr>
          <w:rFonts w:ascii="Times New Roman" w:hAnsi="Times New Roman"/>
        </w:rPr>
      </w:pPr>
      <w:r>
        <w:rPr>
          <w:rFonts w:hint="default" w:ascii="Times New Roman" w:hAnsi="Times New Roman"/>
        </w:rPr>
        <w:t>8.2.2.1　</w:t>
      </w:r>
      <w:r>
        <w:rPr>
          <w:rFonts w:ascii="Times New Roman" w:hAnsi="Times New Roman"/>
        </w:rPr>
        <w:t xml:space="preserve"> 种类：以有机肥为主，配合少量无机肥，每年1次。</w:t>
      </w:r>
    </w:p>
    <w:p w14:paraId="43BA1779">
      <w:pPr>
        <w:spacing w:line="500" w:lineRule="exact"/>
        <w:rPr>
          <w:rFonts w:ascii="Times New Roman" w:hAnsi="Times New Roman"/>
        </w:rPr>
      </w:pPr>
      <w:r>
        <w:rPr>
          <w:rFonts w:hint="default" w:ascii="Times New Roman" w:hAnsi="Times New Roman"/>
        </w:rPr>
        <w:t>8.2.2.2　 时间：9月底</w:t>
      </w:r>
      <w:r>
        <w:rPr>
          <w:rFonts w:hint="default" w:ascii="Times New Roman" w:hAnsi="Times New Roman"/>
          <w:color w:val="000000"/>
        </w:rPr>
        <w:t>～</w:t>
      </w:r>
      <w:r>
        <w:rPr>
          <w:rFonts w:hint="default" w:ascii="Times New Roman" w:hAnsi="Times New Roman"/>
        </w:rPr>
        <w:t>10月底前，一般结合秋冬季深耕时施用。</w:t>
      </w:r>
    </w:p>
    <w:p w14:paraId="511FA8A8">
      <w:pPr>
        <w:spacing w:line="500" w:lineRule="exact"/>
        <w:rPr>
          <w:rFonts w:ascii="Times New Roman" w:hAnsi="Times New Roman"/>
        </w:rPr>
      </w:pPr>
      <w:r>
        <w:rPr>
          <w:rFonts w:hint="default" w:ascii="Times New Roman" w:hAnsi="Times New Roman"/>
        </w:rPr>
        <w:t>8.2.2.3　 方法：平地和宽幅梯级茶园在茶行中间、坡地和窄幅梯级茶园于上坡位或内侧方向开沟深施，沟深20 cm以上，施肥后及时盖土。</w:t>
      </w:r>
    </w:p>
    <w:p w14:paraId="0C25EDB3">
      <w:pPr>
        <w:pStyle w:val="39"/>
        <w:spacing w:beforeLines="0" w:afterLines="0" w:line="360" w:lineRule="auto"/>
        <w:ind w:left="0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/>
          <w:color w:val="000000"/>
        </w:rPr>
        <w:t>8.</w:t>
      </w:r>
      <w:r>
        <w:rPr>
          <w:rFonts w:hint="default" w:ascii="Times New Roman" w:hAnsi="Times New Roman"/>
          <w:color w:val="000000"/>
        </w:rPr>
        <w:t>2.3　</w:t>
      </w:r>
      <w:r>
        <w:rPr>
          <w:rFonts w:hint="default" w:ascii="Times New Roman" w:hAnsi="Times New Roman" w:cs="Times New Roman"/>
          <w:bCs/>
          <w:kern w:val="2"/>
        </w:rPr>
        <w:t>追肥</w:t>
      </w:r>
    </w:p>
    <w:p w14:paraId="5E564F11">
      <w:pPr>
        <w:spacing w:line="50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8.2.3.1 　种类：可选用复合肥、尿素、钙镁磷、过磷酸钙或生物固氮菌肥、有机复合肥等。</w:t>
      </w:r>
    </w:p>
    <w:p w14:paraId="3769FCA7">
      <w:pPr>
        <w:spacing w:line="50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8.2.3.2　 时间：结合茶树生育规律进行，在各季茶芽萌发前施用。一年3次</w:t>
      </w:r>
      <w:r>
        <w:rPr>
          <w:rFonts w:hint="default" w:ascii="Times New Roman" w:hAnsi="Times New Roman"/>
          <w:color w:val="000000"/>
        </w:rPr>
        <w:t>～</w:t>
      </w:r>
      <w:r>
        <w:rPr>
          <w:rFonts w:hint="default" w:ascii="Times New Roman" w:hAnsi="Times New Roman"/>
        </w:rPr>
        <w:t>4次。</w:t>
      </w:r>
    </w:p>
    <w:p w14:paraId="2DFA8A5C">
      <w:pPr>
        <w:spacing w:line="500" w:lineRule="exact"/>
        <w:rPr>
          <w:rFonts w:hint="default" w:ascii="Times New Roman" w:hAnsi="Times New Roman"/>
        </w:rPr>
      </w:pPr>
      <w:r>
        <w:rPr>
          <w:rFonts w:hint="default" w:ascii="Times New Roman" w:hAnsi="Times New Roman"/>
        </w:rPr>
        <w:t>8.2.3.3 　方法：采用沟施，沟深10 cm</w:t>
      </w:r>
      <w:r>
        <w:rPr>
          <w:rFonts w:hint="default" w:ascii="Times New Roman" w:hAnsi="Times New Roman"/>
          <w:color w:val="000000"/>
        </w:rPr>
        <w:t>～</w:t>
      </w:r>
      <w:r>
        <w:rPr>
          <w:rFonts w:hint="default" w:ascii="Times New Roman" w:hAnsi="Times New Roman"/>
        </w:rPr>
        <w:t>15 cm，施后覆土。</w:t>
      </w:r>
    </w:p>
    <w:p w14:paraId="67CCC447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 xml:space="preserve">9 </w:t>
      </w:r>
      <w:r>
        <w:rPr>
          <w:rFonts w:hint="default" w:ascii="Times New Roman" w:hAnsi="Times New Roman" w:eastAsia="黑体"/>
          <w:color w:val="000000"/>
        </w:rPr>
        <w:t>　</w:t>
      </w:r>
      <w:r>
        <w:rPr>
          <w:rFonts w:ascii="Times New Roman" w:hAnsi="Times New Roman" w:eastAsia="黑体"/>
          <w:color w:val="000000"/>
        </w:rPr>
        <w:t>水分管理与灌溉</w:t>
      </w:r>
      <w:r>
        <w:rPr>
          <w:rFonts w:ascii="Times New Roman" w:hAnsi="Times New Roman"/>
          <w:color w:val="000000"/>
        </w:rPr>
        <w:t> </w:t>
      </w:r>
    </w:p>
    <w:p w14:paraId="710CDC41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</w:rPr>
        <w:t>9.1</w:t>
      </w:r>
      <w:r>
        <w:rPr>
          <w:rFonts w:hint="default" w:ascii="Times New Roman" w:hAnsi="Times New Roman"/>
          <w:color w:val="000000"/>
          <w:kern w:val="0"/>
        </w:rPr>
        <w:t>　</w:t>
      </w:r>
      <w:r>
        <w:rPr>
          <w:rFonts w:hint="default" w:ascii="Times New Roman" w:hAnsi="Times New Roman"/>
          <w:color w:val="000000"/>
        </w:rPr>
        <w:t>茶园应建设抗旱保水设施，坡地茶园应开横沟拦蓄地面泾流，减少水土流失；雨季注意蓄水池蓄水，供旱期使用。每年在雨季过后或冬季清理水沟与沉沙凼，保持排水畅通。茶园植树造林，茶园行间铺草以增强茶园土壤涵养水分的能力。</w:t>
      </w:r>
    </w:p>
    <w:p w14:paraId="05DC4531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hint="default" w:ascii="Times New Roman" w:hAnsi="Times New Roman"/>
          <w:color w:val="000000"/>
          <w:kern w:val="0"/>
        </w:rPr>
        <w:t>9.2</w:t>
      </w:r>
      <w:r>
        <w:rPr>
          <w:rFonts w:hint="default" w:ascii="Times New Roman" w:hAnsi="Times New Roman"/>
          <w:color w:val="000000"/>
        </w:rPr>
        <w:t>  1</w:t>
      </w:r>
      <w:r>
        <w:rPr>
          <w:rFonts w:hint="default" w:ascii="Times New Roman" w:hAnsi="Times New Roman"/>
          <w:color w:val="000000"/>
          <w:kern w:val="0"/>
        </w:rPr>
        <w:t>～</w:t>
      </w:r>
      <w:r>
        <w:rPr>
          <w:rFonts w:hint="default" w:ascii="Times New Roman" w:hAnsi="Times New Roman"/>
          <w:color w:val="000000"/>
        </w:rPr>
        <w:t>2年生幼龄茶园，应特别采取遮阴、铺草、及时浇水等措施抗旱。栽植茶苗成活前每隔5d</w:t>
      </w:r>
      <w:r>
        <w:rPr>
          <w:rFonts w:hint="default" w:ascii="Times New Roman" w:hAnsi="Times New Roman"/>
          <w:color w:val="000000"/>
          <w:kern w:val="0"/>
        </w:rPr>
        <w:t>～</w:t>
      </w:r>
      <w:r>
        <w:rPr>
          <w:rFonts w:hint="default" w:ascii="Times New Roman" w:hAnsi="Times New Roman"/>
          <w:color w:val="000000"/>
        </w:rPr>
        <w:t>7d应浇水一次，遇到高温干旱的气候条件，更应及时灌溉补水。</w:t>
      </w:r>
    </w:p>
    <w:p w14:paraId="4BCBF25A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</w:rPr>
        <w:t>9.3</w:t>
      </w:r>
      <w:r>
        <w:rPr>
          <w:rFonts w:ascii="Times New Roman" w:hAnsi="Times New Roman"/>
          <w:color w:val="000000"/>
        </w:rPr>
        <w:t xml:space="preserve">  </w:t>
      </w:r>
      <w:r>
        <w:rPr>
          <w:rFonts w:hint="default" w:ascii="Times New Roman" w:hAnsi="Times New Roman"/>
          <w:color w:val="000000"/>
        </w:rPr>
        <w:t>夏秋干旱季节，日均气温接近30℃，最高气温超过35℃持续一星期以上，气象预报仍有一段时期持续高温无雨，茶树根系较集中的土层内含水率低于田间水量的70%时，安排茶园灌溉。</w:t>
      </w:r>
    </w:p>
    <w:p w14:paraId="113E7259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kern w:val="0"/>
        </w:rPr>
        <w:t>9.4</w:t>
      </w:r>
      <w:r>
        <w:rPr>
          <w:rFonts w:hint="default" w:ascii="Times New Roman" w:hAnsi="Times New Roman"/>
          <w:color w:val="000000"/>
          <w:kern w:val="0"/>
        </w:rPr>
        <w:t>　</w:t>
      </w:r>
      <w:r>
        <w:rPr>
          <w:rFonts w:hint="default" w:ascii="Times New Roman" w:hAnsi="Times New Roman"/>
          <w:color w:val="000000"/>
        </w:rPr>
        <w:t> </w:t>
      </w:r>
      <w:r>
        <w:rPr>
          <w:rFonts w:hint="default" w:ascii="Times New Roman" w:hAnsi="Times New Roman" w:cs="Times New Roman"/>
        </w:rPr>
        <w:t>为保证茶园土壤保持水分，可</w:t>
      </w:r>
      <w:r>
        <w:rPr>
          <w:rFonts w:hint="default" w:ascii="Times New Roman" w:hAnsi="Times New Roman"/>
        </w:rPr>
        <w:t>釆用地面覆盖等措施提髙茶园保土、蓄水能力，植物源覆盖材料(草、</w:t>
      </w:r>
      <w:r>
        <w:rPr>
          <w:rFonts w:hint="default" w:ascii="Times New Roman" w:hAnsi="Times New Roman" w:cs="Times New Roman"/>
        </w:rPr>
        <w:t>修剪枝叶和作物秸秆等)应未受有害或有毒物质的污染。</w:t>
      </w:r>
    </w:p>
    <w:p w14:paraId="7218C659">
      <w:pPr>
        <w:spacing w:line="380" w:lineRule="exact"/>
        <w:rPr>
          <w:rFonts w:hint="eastAsia"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10　</w:t>
      </w:r>
      <w:r>
        <w:rPr>
          <w:rFonts w:hint="eastAsia" w:ascii="Times New Roman" w:hAnsi="Times New Roman" w:eastAsia="黑体"/>
          <w:color w:val="000000"/>
          <w:lang w:eastAsia="zh-CN"/>
        </w:rPr>
        <w:t>病虫草害防治</w:t>
      </w:r>
    </w:p>
    <w:p w14:paraId="582F24C7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hint="default" w:ascii="Times New Roman" w:hAnsi="Times New Roman" w:eastAsia="黑体"/>
          <w:color w:val="000000"/>
        </w:rPr>
        <w:t>10.1　防治原则</w:t>
      </w:r>
    </w:p>
    <w:p w14:paraId="4618041B">
      <w:pPr>
        <w:spacing w:line="380" w:lineRule="exact"/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遵循“预防为主，综合</w:t>
      </w:r>
      <w:r>
        <w:rPr>
          <w:rFonts w:hint="eastAsia" w:ascii="Times New Roman" w:hAnsi="Times New Roman" w:cs="Times New Roman"/>
          <w:lang w:eastAsia="zh-CN"/>
        </w:rPr>
        <w:t>防治</w:t>
      </w:r>
      <w:r>
        <w:rPr>
          <w:rFonts w:hint="default" w:ascii="Times New Roman" w:hAnsi="Times New Roman" w:cs="Times New Roman"/>
        </w:rPr>
        <w:t>”方针，构建良好的绿色茶园生态系统，优先考虑农业、物理防治与生物防治措施，必要时再使用化学防控。坚持茶园虫口调查和测报制度。</w:t>
      </w:r>
    </w:p>
    <w:p w14:paraId="21D579BA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10.</w:t>
      </w:r>
      <w:r>
        <w:rPr>
          <w:rFonts w:hint="default" w:ascii="Times New Roman" w:hAnsi="Times New Roman" w:eastAsia="黑体"/>
          <w:color w:val="000000"/>
        </w:rPr>
        <w:t>2</w:t>
      </w:r>
      <w:r>
        <w:rPr>
          <w:rFonts w:ascii="Times New Roman" w:hAnsi="Times New Roman" w:eastAsia="黑体"/>
          <w:color w:val="000000"/>
        </w:rPr>
        <w:t>　</w:t>
      </w:r>
      <w:r>
        <w:rPr>
          <w:rFonts w:hint="default" w:ascii="Times New Roman" w:hAnsi="Times New Roman" w:eastAsia="黑体"/>
          <w:color w:val="000000"/>
        </w:rPr>
        <w:t>农业防治</w:t>
      </w:r>
    </w:p>
    <w:p w14:paraId="71AE1B94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.1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选用抗病虫品种，异地调苗应进行检疫。</w:t>
      </w:r>
    </w:p>
    <w:p w14:paraId="1D10D7F1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.2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茶园四周或茶园内不适合种茶的空地应植树造林，茶园的上风口应营造防护林。主要道路、沟渠两边种植行道树，选择不落叶的杉、棕、苦楝、桂花、玉兰等树种，茶园周边和梯坎保留一定数量的杂草和种草，改善茶园的生态环境。</w:t>
      </w:r>
    </w:p>
    <w:p w14:paraId="6D74AAA4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.3  结合分批、多次、及时采摘与修剪和台刈，抑制危害芽叶、枝干的病虫。</w:t>
      </w:r>
    </w:p>
    <w:p w14:paraId="194B05AD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.4　茶园覆盖物选用稻草或者茶树枝叶等材料，铺设厚度3</w:t>
      </w:r>
      <w:r>
        <w:rPr>
          <w:rFonts w:hint="default"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cm～5</w:t>
      </w:r>
      <w:r>
        <w:rPr>
          <w:rFonts w:hint="default"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cm。茶行间种绿肥，抑制茶园杂草生长。</w:t>
      </w:r>
    </w:p>
    <w:p w14:paraId="3C08B15B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2</w:t>
      </w:r>
      <w:r>
        <w:rPr>
          <w:rFonts w:ascii="Times New Roman" w:hAnsi="Times New Roman"/>
          <w:color w:val="000000"/>
        </w:rPr>
        <w:t>.5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合理管理肥水，增强树势，提高茶树抵抗力，减少病虫害发生。合理修剪，改善密闭茶园通风透光条件。　</w:t>
      </w:r>
    </w:p>
    <w:p w14:paraId="4686231B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10.</w:t>
      </w:r>
      <w:r>
        <w:rPr>
          <w:rFonts w:hint="default" w:ascii="Times New Roman" w:hAnsi="Times New Roman" w:eastAsia="黑体"/>
          <w:color w:val="000000"/>
        </w:rPr>
        <w:t>3</w:t>
      </w:r>
      <w:r>
        <w:rPr>
          <w:rFonts w:ascii="Times New Roman" w:hAnsi="Times New Roman" w:eastAsia="黑体"/>
          <w:color w:val="000000"/>
        </w:rPr>
        <w:t>　</w:t>
      </w:r>
      <w:r>
        <w:rPr>
          <w:rFonts w:hint="default" w:ascii="Times New Roman" w:hAnsi="Times New Roman" w:eastAsia="黑体"/>
          <w:color w:val="000000"/>
        </w:rPr>
        <w:t>物理防控</w:t>
      </w:r>
    </w:p>
    <w:p w14:paraId="72403563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.1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 xml:space="preserve"> 人工捕杀，减轻茶毛虫、茶蚕、蓑蛾、卷叶蛾类和茶丽纹象甲等害虫的危害。</w:t>
      </w:r>
    </w:p>
    <w:p w14:paraId="09772D29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.2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 xml:space="preserve"> 吸虫捕杀，采用负压吸虫器收集假眼小绿叶蝉、粉虱等茶园小型叶面害虫进行集中处理。</w:t>
      </w:r>
    </w:p>
    <w:p w14:paraId="789F7F0E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.3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每</w:t>
      </w:r>
      <w:r>
        <w:rPr>
          <w:rFonts w:hint="default" w:ascii="Times New Roman" w:hAnsi="Times New Roman"/>
          <w:color w:val="000000"/>
        </w:rPr>
        <w:t>15</w:t>
      </w:r>
      <w:r>
        <w:rPr>
          <w:rFonts w:ascii="Times New Roman" w:hAnsi="Times New Roman"/>
          <w:color w:val="000000"/>
        </w:rPr>
        <w:t>～25亩茶园安装</w:t>
      </w:r>
      <w:r>
        <w:rPr>
          <w:rFonts w:hint="default" w:ascii="Times New Roman" w:hAnsi="Times New Roman"/>
          <w:color w:val="000000"/>
        </w:rPr>
        <w:t>1盏频振式或</w:t>
      </w:r>
      <w:r>
        <w:rPr>
          <w:rFonts w:ascii="Times New Roman" w:hAnsi="Times New Roman"/>
          <w:color w:val="000000"/>
        </w:rPr>
        <w:t>太阳能杀虫灯，诱杀茶尺蠖、茶毛虫、金龟甲等害虫成虫。</w:t>
      </w:r>
    </w:p>
    <w:p w14:paraId="2547A020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.4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每亩</w:t>
      </w:r>
      <w:r>
        <w:rPr>
          <w:rFonts w:hint="default" w:ascii="Times New Roman" w:hAnsi="Times New Roman"/>
          <w:color w:val="000000"/>
        </w:rPr>
        <w:t>在高于茶蓬10 cm</w:t>
      </w:r>
      <w:r>
        <w:rPr>
          <w:rFonts w:ascii="Times New Roman" w:hAnsi="Times New Roman"/>
          <w:color w:val="000000"/>
        </w:rPr>
        <w:t>～</w:t>
      </w:r>
      <w:r>
        <w:rPr>
          <w:rFonts w:hint="default" w:ascii="Times New Roman" w:hAnsi="Times New Roman"/>
          <w:color w:val="000000"/>
        </w:rPr>
        <w:t>20 cm处悬</w:t>
      </w:r>
      <w:r>
        <w:rPr>
          <w:rFonts w:ascii="Times New Roman" w:hAnsi="Times New Roman"/>
          <w:color w:val="000000"/>
        </w:rPr>
        <w:t>挂20～25</w:t>
      </w:r>
      <w:r>
        <w:rPr>
          <w:rFonts w:hint="default" w:ascii="Times New Roman" w:hAnsi="Times New Roman"/>
          <w:color w:val="000000"/>
        </w:rPr>
        <w:t>张黄色或蓝色粘虫板</w:t>
      </w:r>
      <w:r>
        <w:rPr>
          <w:rFonts w:ascii="Times New Roman" w:hAnsi="Times New Roman"/>
          <w:color w:val="000000"/>
        </w:rPr>
        <w:t>，诱杀黑刺粉虱、蚜虫、假眼小绿叶蝉</w:t>
      </w:r>
      <w:r>
        <w:rPr>
          <w:rFonts w:hint="default" w:ascii="Times New Roman" w:hAnsi="Times New Roman"/>
        </w:rPr>
        <w:t>和茶黄蓟马</w:t>
      </w:r>
      <w:r>
        <w:rPr>
          <w:rFonts w:ascii="Times New Roman" w:hAnsi="Times New Roman"/>
          <w:color w:val="000000"/>
        </w:rPr>
        <w:t>等</w:t>
      </w:r>
      <w:r>
        <w:rPr>
          <w:rFonts w:hint="default" w:ascii="Times New Roman" w:hAnsi="Times New Roman"/>
          <w:color w:val="000000"/>
        </w:rPr>
        <w:t>，</w:t>
      </w:r>
      <w:r>
        <w:rPr>
          <w:rFonts w:hint="default" w:ascii="Times New Roman" w:hAnsi="Times New Roman"/>
        </w:rPr>
        <w:t>害虫高发期每15 d更换一次</w:t>
      </w:r>
      <w:r>
        <w:rPr>
          <w:rFonts w:ascii="Times New Roman" w:hAnsi="Times New Roman"/>
          <w:color w:val="000000"/>
        </w:rPr>
        <w:t>。</w:t>
      </w:r>
    </w:p>
    <w:p w14:paraId="52D609BD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.5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信息素诱杀（性信息素和昆虫聚集信息素）和糖醋等诱杀害虫。</w:t>
      </w:r>
    </w:p>
    <w:p w14:paraId="5F04D886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>.6</w:t>
      </w:r>
      <w:r>
        <w:rPr>
          <w:rFonts w:hint="default" w:ascii="Times New Roman" w:hAnsi="Times New Roman"/>
          <w:color w:val="000000"/>
        </w:rPr>
        <w:t>　</w:t>
      </w:r>
      <w:r>
        <w:rPr>
          <w:rFonts w:hint="default" w:ascii="Times New Roman" w:hAnsi="Times New Roman"/>
        </w:rPr>
        <w:t>采用机械除草、人工锄草或覆盖防草布等方法防除杂草。</w:t>
      </w:r>
      <w:r>
        <w:rPr>
          <w:rFonts w:ascii="Times New Roman" w:hAnsi="Times New Roman"/>
          <w:color w:val="000000"/>
        </w:rPr>
        <w:t>　</w:t>
      </w:r>
    </w:p>
    <w:p w14:paraId="47F2EC69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</w:t>
      </w:r>
      <w:r>
        <w:rPr>
          <w:rFonts w:ascii="Times New Roman" w:hAnsi="Times New Roman"/>
          <w:color w:val="000000"/>
        </w:rPr>
        <w:t xml:space="preserve">.7 </w:t>
      </w:r>
      <w:r>
        <w:rPr>
          <w:rFonts w:hint="default" w:ascii="Times New Roman" w:hAnsi="Times New Roman"/>
          <w:color w:val="000000"/>
        </w:rPr>
        <w:t>　</w:t>
      </w:r>
      <w:r>
        <w:rPr>
          <w:rFonts w:ascii="Times New Roman" w:hAnsi="Times New Roman"/>
          <w:color w:val="000000"/>
        </w:rPr>
        <w:t>深耕施肥和初冬农闲时，将茶园内枯枝落叶和茶树上的病虫枝叶清理出茶园集中销毁，减少越冬病虫基数。</w:t>
      </w:r>
    </w:p>
    <w:p w14:paraId="55198B29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10.</w:t>
      </w:r>
      <w:r>
        <w:rPr>
          <w:rFonts w:hint="default" w:ascii="Times New Roman" w:hAnsi="Times New Roman" w:eastAsia="黑体"/>
          <w:color w:val="000000"/>
        </w:rPr>
        <w:t>4</w:t>
      </w:r>
      <w:r>
        <w:rPr>
          <w:rFonts w:ascii="Times New Roman" w:hAnsi="Times New Roman" w:eastAsia="黑体"/>
          <w:color w:val="000000"/>
        </w:rPr>
        <w:t xml:space="preserve">  生物防治</w:t>
      </w:r>
    </w:p>
    <w:p w14:paraId="6A50AE4A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.1</w:t>
      </w:r>
      <w:r>
        <w:rPr>
          <w:rFonts w:hint="default" w:ascii="Times New Roman" w:hAnsi="Times New Roman"/>
          <w:color w:val="000000"/>
        </w:rPr>
        <w:t>　</w:t>
      </w:r>
      <w:r>
        <w:rPr>
          <w:rFonts w:hint="default" w:ascii="Times New Roman" w:hAnsi="Times New Roman"/>
        </w:rPr>
        <w:t>利用天敌防治虫害。</w:t>
      </w:r>
      <w:r>
        <w:rPr>
          <w:rFonts w:hint="default" w:ascii="Times New Roman" w:hAnsi="Times New Roman"/>
          <w:color w:val="000000"/>
        </w:rPr>
        <w:t>通过茶行间种绿肥植物或其它经济作物，结合农事操作为茶园天敌提供栖息场所和迁移条件，保护天敌种群多样性，发挥自然天敌的控害作用。</w:t>
      </w:r>
    </w:p>
    <w:p w14:paraId="620D58D7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hint="default" w:ascii="Times New Roman" w:hAnsi="Times New Roman"/>
          <w:color w:val="000000"/>
        </w:rPr>
        <w:t>10.4.2　</w:t>
      </w:r>
      <w:r>
        <w:rPr>
          <w:rFonts w:hint="default" w:ascii="Times New Roman" w:hAnsi="Times New Roman"/>
        </w:rPr>
        <w:t>宜使用生物源农药如微生物农药、植物源农药和矿物源农药。</w:t>
      </w:r>
      <w:r>
        <w:rPr>
          <w:rFonts w:hint="default" w:ascii="Times New Roman" w:hAnsi="Times New Roman"/>
          <w:color w:val="000000"/>
        </w:rPr>
        <w:t>如白僵菌、苏云金杆菌（Bt）和昆虫病毒 (核型多角体病毒和颗粒体病毒)制剂。</w:t>
      </w:r>
    </w:p>
    <w:p w14:paraId="39D68D69">
      <w:pPr>
        <w:spacing w:line="380" w:lineRule="exact"/>
        <w:rPr>
          <w:rFonts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4</w:t>
      </w:r>
      <w:r>
        <w:rPr>
          <w:rFonts w:ascii="Times New Roman" w:hAnsi="Times New Roman"/>
          <w:color w:val="000000"/>
        </w:rPr>
        <w:t>.3</w:t>
      </w:r>
      <w:r>
        <w:rPr>
          <w:rFonts w:hint="default" w:ascii="Times New Roman" w:hAnsi="Times New Roman"/>
          <w:color w:val="000000"/>
        </w:rPr>
        <w:t>　</w:t>
      </w:r>
      <w:r>
        <w:rPr>
          <w:rFonts w:hint="default" w:ascii="Times New Roman" w:hAnsi="Times New Roman"/>
        </w:rPr>
        <w:t>可采用行间套种豆科作物、鼠茅草等以草抑草。</w:t>
      </w:r>
    </w:p>
    <w:p w14:paraId="1CB394E5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10.</w:t>
      </w:r>
      <w:r>
        <w:rPr>
          <w:rFonts w:hint="default" w:ascii="Times New Roman" w:hAnsi="Times New Roman" w:eastAsia="黑体"/>
          <w:color w:val="000000"/>
        </w:rPr>
        <w:t>5</w:t>
      </w:r>
      <w:r>
        <w:rPr>
          <w:rFonts w:ascii="Times New Roman" w:hAnsi="Times New Roman" w:eastAsia="黑体"/>
          <w:color w:val="000000"/>
        </w:rPr>
        <w:t xml:space="preserve">  化学防治</w:t>
      </w:r>
    </w:p>
    <w:p w14:paraId="407B0202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1　农药使用要</w:t>
      </w:r>
      <w:r>
        <w:rPr>
          <w:rFonts w:ascii="Times New Roman" w:hAnsi="Times New Roman"/>
          <w:color w:val="000000"/>
        </w:rPr>
        <w:t>严格遵循NY/T 393的规定</w:t>
      </w:r>
      <w:r>
        <w:rPr>
          <w:rFonts w:hint="default" w:ascii="Times New Roman" w:hAnsi="Times New Roman"/>
          <w:color w:val="000000"/>
        </w:rPr>
        <w:t xml:space="preserve">要求。 </w:t>
      </w:r>
    </w:p>
    <w:p w14:paraId="0BFA1D9B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2　</w:t>
      </w:r>
      <w:r>
        <w:rPr>
          <w:rFonts w:hint="default" w:ascii="Times New Roman" w:hAnsi="Times New Roman"/>
        </w:rPr>
        <w:t>选用高效、</w:t>
      </w:r>
      <w:r>
        <w:rPr>
          <w:rFonts w:hint="default" w:ascii="Times New Roman" w:hAnsi="Times New Roman"/>
          <w:color w:val="000000"/>
        </w:rPr>
        <w:t>低毒、低残留农药，科学轮换和混配使用。限制使用高水溶性农药，禁止使用国家公告禁限止高毒、</w:t>
      </w:r>
      <w:r>
        <w:rPr>
          <w:rFonts w:hint="eastAsia" w:ascii="Times New Roman" w:hAnsi="Times New Roman"/>
          <w:color w:val="000000"/>
          <w:lang w:eastAsia="zh-CN"/>
        </w:rPr>
        <w:t>高</w:t>
      </w:r>
      <w:r>
        <w:rPr>
          <w:rFonts w:hint="default" w:ascii="Times New Roman" w:hAnsi="Times New Roman"/>
          <w:color w:val="000000"/>
        </w:rPr>
        <w:t>残留农药和已撤销茶树上使用登记许可的农药。</w:t>
      </w:r>
    </w:p>
    <w:p w14:paraId="2F1AA79D">
      <w:pPr>
        <w:spacing w:line="380" w:lineRule="exact"/>
        <w:rPr>
          <w:rFonts w:hint="default" w:ascii="Times New Roman" w:hAnsi="Times New Roman"/>
          <w:color w:val="000000"/>
        </w:rPr>
      </w:pPr>
      <w:r>
        <w:rPr>
          <w:rFonts w:ascii="Times New Roman" w:hAnsi="Times New Roman" w:eastAsia="黑体"/>
          <w:color w:val="000000"/>
        </w:rPr>
        <w:t>10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5</w:t>
      </w:r>
      <w:r>
        <w:rPr>
          <w:rFonts w:ascii="Times New Roman" w:hAnsi="Times New Roman"/>
          <w:color w:val="000000"/>
        </w:rPr>
        <w:t>.</w:t>
      </w:r>
      <w:r>
        <w:rPr>
          <w:rFonts w:hint="default" w:ascii="Times New Roman" w:hAnsi="Times New Roman"/>
          <w:color w:val="000000"/>
        </w:rPr>
        <w:t>3　农药使用方法应按照产品包装标签规定要求执行，严格控制用药量、施药次数和安全间隔期。具体防治措施和推荐用药参见附录A。</w:t>
      </w:r>
    </w:p>
    <w:p w14:paraId="7A9B2838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11  鲜叶采摘</w:t>
      </w:r>
    </w:p>
    <w:p w14:paraId="15D980F0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11.1</w:t>
      </w:r>
      <w:r>
        <w:rPr>
          <w:rFonts w:hint="default" w:ascii="Times New Roman" w:hAnsi="Times New Roman" w:eastAsia="黑体"/>
          <w:color w:val="000000"/>
        </w:rPr>
        <w:t>　</w:t>
      </w:r>
      <w:r>
        <w:rPr>
          <w:rFonts w:ascii="Times New Roman" w:hAnsi="Times New Roman" w:eastAsia="黑体"/>
          <w:color w:val="000000"/>
        </w:rPr>
        <w:t>采摘原则</w:t>
      </w:r>
    </w:p>
    <w:p w14:paraId="655ED778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根据茶树生长特性和</w:t>
      </w:r>
      <w:r>
        <w:rPr>
          <w:rFonts w:hint="default" w:ascii="Times New Roman" w:hAnsi="Times New Roman"/>
          <w:color w:val="000000"/>
          <w:kern w:val="0"/>
        </w:rPr>
        <w:t>乌龙茶</w:t>
      </w:r>
      <w:r>
        <w:rPr>
          <w:rFonts w:ascii="Times New Roman" w:hAnsi="Times New Roman"/>
          <w:color w:val="000000"/>
          <w:kern w:val="0"/>
        </w:rPr>
        <w:t>成品茶对鲜叶原料嫩度的要求，遵循采留结合、量质兼顾原则，按标准适时采摘。</w:t>
      </w:r>
      <w:r>
        <w:rPr>
          <w:rFonts w:hint="default" w:ascii="Times New Roman" w:hAnsi="Times New Roman"/>
          <w:color w:val="000000"/>
          <w:kern w:val="0"/>
        </w:rPr>
        <w:t>具体为</w:t>
      </w:r>
      <w:r>
        <w:rPr>
          <w:rFonts w:ascii="Times New Roman" w:hAnsi="Times New Roman"/>
        </w:rPr>
        <w:t>芽梢驻芽形成后小开面至中开面，采驻芽二、三叶，夏暑茶可适当嫩采。</w:t>
      </w:r>
    </w:p>
    <w:p w14:paraId="1DA3666F">
      <w:pPr>
        <w:spacing w:line="380" w:lineRule="exact"/>
        <w:rPr>
          <w:rFonts w:ascii="Times New Roman" w:hAnsi="Times New Roman" w:eastAsia="黑体"/>
          <w:color w:val="000000"/>
        </w:rPr>
      </w:pPr>
      <w:r>
        <w:rPr>
          <w:rFonts w:ascii="Times New Roman" w:hAnsi="Times New Roman" w:eastAsia="黑体"/>
          <w:color w:val="000000"/>
        </w:rPr>
        <w:t>11.2 采摘方法</w:t>
      </w:r>
    </w:p>
    <w:p w14:paraId="53F8F0BD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手工采摘应保持芽叶或嫩梢完整、新鲜、匀净，不夹带茶果、老枝叶或非茶类夹杂物。采茶机应使用无铅汽油，防止汽油、机油污染茶叶、茶树和土壤。采下的茶叶应及时运抵加工厂加工，防止鲜叶变质。</w:t>
      </w:r>
    </w:p>
    <w:p w14:paraId="73599D0E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12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茶叶加工</w:t>
      </w:r>
    </w:p>
    <w:p w14:paraId="0802CA5D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12.1</w:t>
      </w:r>
      <w:r>
        <w:rPr>
          <w:rFonts w:hint="default" w:ascii="Times New Roman" w:hAnsi="Times New Roman" w:eastAsia="黑体"/>
          <w:color w:val="000000"/>
          <w:kern w:val="0"/>
        </w:rPr>
        <w:t>　生产过程要求</w:t>
      </w:r>
    </w:p>
    <w:p w14:paraId="2A0BB4F4">
      <w:pPr>
        <w:spacing w:line="380" w:lineRule="exact"/>
        <w:ind w:firstLine="420" w:firstLineChars="200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/>
          <w:color w:val="000000"/>
        </w:rPr>
        <w:t>加工厂区环境、厂房与设施、加工设备与工具、人员卫生管理等要求应符合</w:t>
      </w:r>
      <w:r>
        <w:rPr>
          <w:rFonts w:hint="default" w:ascii="Times New Roman" w:hAnsi="Times New Roman"/>
          <w:color w:val="000000"/>
        </w:rPr>
        <w:t>GB14881、</w:t>
      </w:r>
      <w:r>
        <w:rPr>
          <w:rFonts w:hint="default" w:ascii="Times New Roman" w:hAnsi="Times New Roman"/>
        </w:rPr>
        <w:t>GB/T 32744。要求相对独立的加工车间和加工生产线；若存在平行生产，要求与常规生产之间有一个冲顶加工。</w:t>
      </w:r>
    </w:p>
    <w:p w14:paraId="33628B5C">
      <w:pPr>
        <w:spacing w:line="380" w:lineRule="exact"/>
        <w:rPr>
          <w:rFonts w:hint="default"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12.</w:t>
      </w:r>
      <w:r>
        <w:rPr>
          <w:rFonts w:hint="default" w:ascii="Times New Roman" w:hAnsi="Times New Roman" w:eastAsia="黑体"/>
          <w:color w:val="000000"/>
          <w:kern w:val="0"/>
        </w:rPr>
        <w:t>2</w:t>
      </w:r>
      <w:r>
        <w:rPr>
          <w:rFonts w:ascii="Times New Roman" w:hAnsi="Times New Roman" w:eastAsia="黑体"/>
          <w:color w:val="000000"/>
          <w:kern w:val="0"/>
        </w:rPr>
        <w:t xml:space="preserve"> </w:t>
      </w:r>
      <w:r>
        <w:rPr>
          <w:rFonts w:hint="default" w:ascii="Times New Roman" w:hAnsi="Times New Roman" w:eastAsia="黑体"/>
          <w:color w:val="000000"/>
          <w:kern w:val="0"/>
        </w:rPr>
        <w:t>初制加工　</w:t>
      </w:r>
    </w:p>
    <w:p w14:paraId="3985F040">
      <w:pPr>
        <w:spacing w:line="380" w:lineRule="exact"/>
        <w:rPr>
          <w:rFonts w:ascii="Times New Roman" w:hAnsi="Times New Roman"/>
          <w:color w:val="000000"/>
        </w:rPr>
      </w:pPr>
      <w:r>
        <w:rPr>
          <w:rFonts w:hint="default" w:ascii="Times New Roman" w:hAnsi="Times New Roman" w:eastAsia="黑体"/>
          <w:color w:val="000000"/>
          <w:kern w:val="0"/>
        </w:rPr>
        <w:t>　　</w:t>
      </w:r>
      <w:r>
        <w:rPr>
          <w:rFonts w:hint="default" w:ascii="Times New Roman" w:hAnsi="Times New Roman"/>
          <w:color w:val="000000"/>
        </w:rPr>
        <w:t>按晒青、做青（摇青、晾青）</w:t>
      </w:r>
      <w:r>
        <w:rPr>
          <w:rFonts w:hint="eastAsia" w:ascii="Times New Roman" w:hAnsi="Times New Roman"/>
          <w:color w:val="000000"/>
          <w:lang w:eastAsia="zh-CN"/>
        </w:rPr>
        <w:t>、</w:t>
      </w:r>
      <w:r>
        <w:rPr>
          <w:rFonts w:hint="default" w:ascii="Times New Roman" w:hAnsi="Times New Roman"/>
          <w:color w:val="000000"/>
        </w:rPr>
        <w:t>杀青、揉捻（包揉）、干燥顺序加工。</w:t>
      </w:r>
    </w:p>
    <w:p w14:paraId="1DC37867">
      <w:pPr>
        <w:spacing w:line="380" w:lineRule="exact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 w:eastAsia="黑体"/>
          <w:color w:val="000000"/>
          <w:kern w:val="0"/>
        </w:rPr>
        <w:t>12.2.1 　晒青</w:t>
      </w:r>
    </w:p>
    <w:p w14:paraId="707CB44B">
      <w:pPr>
        <w:spacing w:line="380" w:lineRule="exact"/>
        <w:ind w:firstLine="428" w:firstLineChars="200"/>
        <w:rPr>
          <w:rFonts w:hint="default"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将鲜叶薄摊在晒青布上，厚约2 cm～4 cm，日光萎凋时间15 min～60 min，视季节、品种、地区实际情况而定。期间进行2次～3次翻筛，并结合晾青，使鲜叶失水均匀一致。萎凋至叶面失去光泽，叶色转暗绿，顶叶稍下垂，梗弯而不断，手捏有弹性感，散发出微青草气。</w:t>
      </w:r>
    </w:p>
    <w:p w14:paraId="4163B325">
      <w:pPr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12.</w:t>
      </w:r>
      <w:r>
        <w:rPr>
          <w:rFonts w:hint="default" w:ascii="Times New Roman" w:hAnsi="Times New Roman" w:eastAsia="黑体"/>
          <w:color w:val="000000"/>
          <w:kern w:val="0"/>
        </w:rPr>
        <w:t>2</w:t>
      </w:r>
      <w:r>
        <w:rPr>
          <w:rFonts w:ascii="Times New Roman" w:hAnsi="Times New Roman" w:eastAsia="黑体"/>
          <w:color w:val="000000"/>
          <w:kern w:val="0"/>
        </w:rPr>
        <w:t>.</w:t>
      </w:r>
      <w:r>
        <w:rPr>
          <w:rFonts w:hint="default" w:ascii="Times New Roman" w:hAnsi="Times New Roman" w:eastAsia="黑体"/>
          <w:color w:val="000000"/>
          <w:kern w:val="0"/>
        </w:rPr>
        <w:t>2　做青</w:t>
      </w:r>
    </w:p>
    <w:p w14:paraId="0236DC0C">
      <w:pPr>
        <w:spacing w:line="380" w:lineRule="exact"/>
        <w:ind w:firstLine="428" w:firstLineChars="200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/>
          <w:color w:val="000000"/>
          <w:spacing w:val="2"/>
        </w:rPr>
        <w:t>做青由摇青和晾青交替进行。摇青视季节、品种、地区实际情况而定，闽南乌龙茶摇青3次～4次，历时12 h～18 h，晾青间适宜温度为18℃～23℃，湿度为65%～75%；闽北乌龙茶摇青4次～5次，历时10 h～12 h，晾青间适宜温度为22℃～25℃，湿度不高于80%，摇青时间先少后多，根据气候、季节、嫩度及产品不同风格灵活掌握。以做青叶色转为暗黄绿色，叶面略有皱纹，叶梗柔软，稍有弹性，青气消失，散发清香，间由水果甜香为做青适度标志。</w:t>
      </w:r>
      <w:r>
        <w:rPr>
          <w:rFonts w:hint="default" w:ascii="Times New Roman" w:hAnsi="Times New Roman"/>
          <w:color w:val="000000"/>
          <w:spacing w:val="2"/>
        </w:rPr>
        <w:br w:type="textWrapping"/>
      </w:r>
      <w:r>
        <w:rPr>
          <w:rFonts w:ascii="Times New Roman" w:hAnsi="Times New Roman" w:eastAsia="黑体"/>
          <w:color w:val="000000"/>
          <w:kern w:val="0"/>
        </w:rPr>
        <w:t>12.</w:t>
      </w:r>
      <w:r>
        <w:rPr>
          <w:rFonts w:hint="default" w:ascii="Times New Roman" w:hAnsi="Times New Roman" w:eastAsia="黑体"/>
          <w:color w:val="000000"/>
          <w:kern w:val="0"/>
        </w:rPr>
        <w:t>2</w:t>
      </w:r>
      <w:r>
        <w:rPr>
          <w:rFonts w:ascii="Times New Roman" w:hAnsi="Times New Roman" w:eastAsia="黑体"/>
          <w:color w:val="000000"/>
          <w:kern w:val="0"/>
        </w:rPr>
        <w:t>.</w:t>
      </w:r>
      <w:r>
        <w:rPr>
          <w:rFonts w:hint="default" w:ascii="Times New Roman" w:hAnsi="Times New Roman" w:eastAsia="黑体"/>
          <w:color w:val="000000"/>
          <w:kern w:val="0"/>
        </w:rPr>
        <w:t>3　杀青</w:t>
      </w:r>
    </w:p>
    <w:p w14:paraId="2391850C">
      <w:pPr>
        <w:spacing w:line="380" w:lineRule="exact"/>
        <w:ind w:firstLine="428" w:firstLineChars="200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/>
          <w:color w:val="000000"/>
          <w:spacing w:val="2"/>
        </w:rPr>
        <w:t>杀青适宜温度为220℃～280℃，时间10 min内，杀青至叶底颜色转暗，颜色均匀，手抓有刺手感，青味褪去，有一定茶香，杀青叶应及时摊凉。</w:t>
      </w:r>
      <w:r>
        <w:rPr>
          <w:rFonts w:hint="default" w:ascii="Times New Roman" w:hAnsi="Times New Roman"/>
          <w:color w:val="000000"/>
          <w:spacing w:val="2"/>
        </w:rPr>
        <w:br w:type="textWrapping"/>
      </w:r>
      <w:r>
        <w:rPr>
          <w:rFonts w:ascii="Times New Roman" w:hAnsi="Times New Roman" w:eastAsia="黑体"/>
          <w:color w:val="000000"/>
          <w:kern w:val="0"/>
        </w:rPr>
        <w:t>12.</w:t>
      </w:r>
      <w:r>
        <w:rPr>
          <w:rFonts w:hint="default" w:ascii="Times New Roman" w:hAnsi="Times New Roman" w:eastAsia="黑体"/>
          <w:color w:val="000000"/>
          <w:kern w:val="0"/>
        </w:rPr>
        <w:t>2</w:t>
      </w:r>
      <w:r>
        <w:rPr>
          <w:rFonts w:ascii="Times New Roman" w:hAnsi="Times New Roman" w:eastAsia="黑体"/>
          <w:color w:val="000000"/>
          <w:kern w:val="0"/>
        </w:rPr>
        <w:t>.</w:t>
      </w:r>
      <w:r>
        <w:rPr>
          <w:rFonts w:hint="default" w:ascii="Times New Roman" w:hAnsi="Times New Roman" w:eastAsia="黑体"/>
          <w:color w:val="000000"/>
          <w:kern w:val="0"/>
        </w:rPr>
        <w:t>4</w:t>
      </w:r>
      <w:r>
        <w:rPr>
          <w:rFonts w:ascii="Times New Roman" w:hAnsi="Times New Roman" w:eastAsia="黑体"/>
          <w:color w:val="000000"/>
          <w:kern w:val="0"/>
        </w:rPr>
        <w:t xml:space="preserve"> </w:t>
      </w:r>
      <w:r>
        <w:rPr>
          <w:rFonts w:hint="default" w:ascii="Times New Roman" w:hAnsi="Times New Roman" w:eastAsia="黑体"/>
          <w:color w:val="000000"/>
          <w:kern w:val="0"/>
        </w:rPr>
        <w:t>　揉捻（包揉）</w:t>
      </w:r>
    </w:p>
    <w:p w14:paraId="503D06E3">
      <w:pPr>
        <w:spacing w:line="380" w:lineRule="exact"/>
        <w:ind w:firstLine="428" w:firstLineChars="200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杀青叶摊凉后及时揉捻，使揉捻叶卷曲成条</w:t>
      </w:r>
      <w:r>
        <w:rPr>
          <w:rFonts w:ascii="Times New Roman" w:hAnsi="Times New Roman"/>
          <w:color w:val="000000"/>
          <w:spacing w:val="2"/>
        </w:rPr>
        <w:t>。</w:t>
      </w:r>
      <w:r>
        <w:rPr>
          <w:rFonts w:hint="default" w:ascii="Times New Roman" w:hAnsi="Times New Roman"/>
          <w:color w:val="000000"/>
          <w:spacing w:val="2"/>
        </w:rPr>
        <w:t>颗粒型乌龙茶需进行包揉工序，包括包揉、松包解团、初烘、复包揉、定型工序。</w:t>
      </w:r>
      <w:r>
        <w:rPr>
          <w:rFonts w:ascii="Times New Roman" w:hAnsi="Times New Roman"/>
          <w:color w:val="000000"/>
          <w:spacing w:val="2"/>
        </w:rPr>
        <w:t xml:space="preserve"> </w:t>
      </w:r>
    </w:p>
    <w:p w14:paraId="73D5BD01">
      <w:pPr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12.</w:t>
      </w:r>
      <w:r>
        <w:rPr>
          <w:rFonts w:hint="default" w:ascii="Times New Roman" w:hAnsi="Times New Roman" w:eastAsia="黑体"/>
          <w:color w:val="000000"/>
          <w:kern w:val="0"/>
        </w:rPr>
        <w:t>2.5　</w:t>
      </w:r>
      <w:r>
        <w:rPr>
          <w:rFonts w:ascii="Times New Roman" w:hAnsi="Times New Roman" w:eastAsia="黑体"/>
          <w:color w:val="000000"/>
          <w:kern w:val="0"/>
        </w:rPr>
        <w:t>干燥</w:t>
      </w:r>
    </w:p>
    <w:p w14:paraId="6E8AF935">
      <w:pPr>
        <w:spacing w:line="380" w:lineRule="exact"/>
        <w:ind w:firstLine="428" w:firstLineChars="200"/>
        <w:rPr>
          <w:rFonts w:hint="default"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烘干温度85℃～120℃，烘至足干。</w:t>
      </w:r>
    </w:p>
    <w:p w14:paraId="0A734821">
      <w:pPr>
        <w:spacing w:line="380" w:lineRule="exact"/>
        <w:rPr>
          <w:rFonts w:hint="default" w:ascii="Times New Roman" w:hAnsi="Times New Roman" w:eastAsia="黑体"/>
          <w:color w:val="000000"/>
          <w:spacing w:val="2"/>
        </w:rPr>
      </w:pPr>
      <w:r>
        <w:rPr>
          <w:rFonts w:hint="default" w:ascii="Times New Roman" w:hAnsi="Times New Roman" w:eastAsia="黑体"/>
          <w:color w:val="000000"/>
          <w:spacing w:val="2"/>
        </w:rPr>
        <w:t>12.3 　精制加工　</w:t>
      </w:r>
    </w:p>
    <w:p w14:paraId="6B8C1E0E">
      <w:pPr>
        <w:spacing w:line="380" w:lineRule="exact"/>
        <w:rPr>
          <w:rFonts w:hint="default" w:ascii="Times New Roman" w:hAnsi="Times New Roman" w:eastAsia="黑体"/>
          <w:color w:val="000000"/>
          <w:spacing w:val="2"/>
        </w:rPr>
      </w:pPr>
      <w:r>
        <w:rPr>
          <w:rFonts w:hint="default" w:ascii="Times New Roman" w:hAnsi="Times New Roman" w:eastAsia="黑体"/>
          <w:color w:val="000000"/>
          <w:spacing w:val="2"/>
        </w:rPr>
        <w:t>　　</w:t>
      </w:r>
      <w:r>
        <w:rPr>
          <w:rFonts w:hint="default" w:ascii="Times New Roman" w:hAnsi="Times New Roman"/>
          <w:color w:val="000000"/>
        </w:rPr>
        <w:t>按毛茶、拣剔、筛分、风选、拼配、烘焙（拼配）、包装顺序加工。</w:t>
      </w:r>
    </w:p>
    <w:p w14:paraId="46CCC47E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12.3.1 　验收</w:t>
      </w:r>
    </w:p>
    <w:p w14:paraId="7BC75684">
      <w:pPr>
        <w:spacing w:line="380" w:lineRule="exact"/>
        <w:ind w:firstLine="450"/>
        <w:rPr>
          <w:rFonts w:hint="default"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对照标准样进行审评验收，包含数量验收、品质状况、水分、碎茶等，评定茶叶等级。</w:t>
      </w:r>
    </w:p>
    <w:p w14:paraId="0BD9455E">
      <w:pPr>
        <w:autoSpaceDE w:val="0"/>
        <w:autoSpaceDN w:val="0"/>
        <w:adjustRightInd w:val="0"/>
        <w:spacing w:line="380" w:lineRule="exact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12.3.2 　归堆</w:t>
      </w:r>
    </w:p>
    <w:p w14:paraId="496E7DCE">
      <w:pPr>
        <w:spacing w:line="380" w:lineRule="exact"/>
        <w:ind w:firstLine="435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按地域、大类、等级、季节等要求进行归堆。</w:t>
      </w:r>
    </w:p>
    <w:p w14:paraId="0C09D981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12.3.3　 拣剔</w:t>
      </w:r>
    </w:p>
    <w:p w14:paraId="61DD2154">
      <w:pPr>
        <w:spacing w:line="380" w:lineRule="exact"/>
        <w:ind w:firstLine="435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采用拣梗机和色选机进行拣剔，拣净率如达不到产品质量要求，应结合人工拣剔。</w:t>
      </w:r>
    </w:p>
    <w:p w14:paraId="77BBC8CF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12.3.4 　筛分</w:t>
      </w:r>
    </w:p>
    <w:p w14:paraId="32882F3F">
      <w:pPr>
        <w:spacing w:line="380" w:lineRule="exact"/>
        <w:ind w:firstLine="450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采用圆筛机进行筛分，颗粒型乌龙茶的筛网孔径为3 mm</w:t>
      </w:r>
      <w:r>
        <w:rPr>
          <w:rFonts w:ascii="Times New Roman" w:hAnsi="Times New Roman"/>
          <w:color w:val="000000"/>
          <w:spacing w:val="2"/>
        </w:rPr>
        <w:t>～</w:t>
      </w:r>
      <w:r>
        <w:rPr>
          <w:rFonts w:hint="default" w:ascii="Times New Roman" w:hAnsi="Times New Roman"/>
          <w:color w:val="000000"/>
          <w:spacing w:val="2"/>
        </w:rPr>
        <w:t>5 mm，条型乌龙茶的筛网孔径为6 mm</w:t>
      </w:r>
      <w:r>
        <w:rPr>
          <w:rFonts w:ascii="Times New Roman" w:hAnsi="Times New Roman"/>
          <w:color w:val="000000"/>
          <w:spacing w:val="2"/>
        </w:rPr>
        <w:t>～</w:t>
      </w:r>
      <w:r>
        <w:rPr>
          <w:rFonts w:hint="default" w:ascii="Times New Roman" w:hAnsi="Times New Roman"/>
          <w:color w:val="000000"/>
          <w:spacing w:val="2"/>
        </w:rPr>
        <w:t>7 mm。</w:t>
      </w:r>
    </w:p>
    <w:p w14:paraId="08041020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12.3.5　 风选</w:t>
      </w:r>
    </w:p>
    <w:p w14:paraId="5C766318">
      <w:pPr>
        <w:spacing w:line="380" w:lineRule="exact"/>
        <w:ind w:firstLine="435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利用风选机选别出茶叶的轻重和非茶类夹杂物。</w:t>
      </w:r>
    </w:p>
    <w:p w14:paraId="775FF55C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12.3.6 　拼配</w:t>
      </w:r>
    </w:p>
    <w:p w14:paraId="48D62F3B">
      <w:pPr>
        <w:spacing w:line="380" w:lineRule="exact"/>
        <w:ind w:firstLine="435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根据原料的地域、外形、色泽、香气、滋味特色，科学合理拼配。</w:t>
      </w:r>
    </w:p>
    <w:p w14:paraId="39A64BED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12.3.7 　匀堆</w:t>
      </w:r>
    </w:p>
    <w:p w14:paraId="1A1B9210">
      <w:pPr>
        <w:spacing w:line="380" w:lineRule="exact"/>
        <w:ind w:firstLine="450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拣剔后的茶叶，按原级别投料将各筛号茶按一定比例打堆拼和。可采用人工匀堆和机械匀堆，使产品符合要求。</w:t>
      </w:r>
    </w:p>
    <w:p w14:paraId="4AF50050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12.3.8 　烘焙</w:t>
      </w:r>
    </w:p>
    <w:p w14:paraId="1883BB50">
      <w:pPr>
        <w:spacing w:line="380" w:lineRule="exact"/>
        <w:ind w:firstLine="435"/>
        <w:rPr>
          <w:rFonts w:ascii="Times New Roman" w:hAnsi="Times New Roman"/>
          <w:color w:val="000000"/>
          <w:spacing w:val="2"/>
        </w:rPr>
      </w:pPr>
      <w:r>
        <w:rPr>
          <w:rFonts w:hint="default" w:ascii="Times New Roman" w:hAnsi="Times New Roman"/>
          <w:color w:val="000000"/>
          <w:spacing w:val="2"/>
        </w:rPr>
        <w:t>烘焙温度时间根据产品等级、风格或市场要求而定，一般在60℃</w:t>
      </w:r>
      <w:r>
        <w:rPr>
          <w:rFonts w:ascii="Times New Roman" w:hAnsi="Times New Roman"/>
          <w:color w:val="000000"/>
          <w:spacing w:val="2"/>
        </w:rPr>
        <w:t>～</w:t>
      </w:r>
      <w:r>
        <w:rPr>
          <w:rFonts w:hint="default" w:ascii="Times New Roman" w:hAnsi="Times New Roman"/>
          <w:color w:val="000000"/>
          <w:spacing w:val="2"/>
        </w:rPr>
        <w:t>160℃。</w:t>
      </w:r>
    </w:p>
    <w:p w14:paraId="4578EA0B">
      <w:pPr>
        <w:spacing w:line="380" w:lineRule="exact"/>
        <w:rPr>
          <w:rFonts w:ascii="Times New Roman" w:hAnsi="Times New Roman" w:eastAsia="黑体"/>
          <w:color w:val="000000"/>
          <w:spacing w:val="2"/>
        </w:rPr>
      </w:pPr>
      <w:r>
        <w:rPr>
          <w:rFonts w:ascii="Times New Roman" w:hAnsi="Times New Roman" w:eastAsia="黑体"/>
          <w:color w:val="000000"/>
          <w:spacing w:val="2"/>
        </w:rPr>
        <w:t>13</w:t>
      </w:r>
      <w:r>
        <w:rPr>
          <w:rFonts w:hint="default" w:ascii="Times New Roman" w:hAnsi="Times New Roman" w:eastAsia="黑体"/>
          <w:color w:val="000000"/>
          <w:spacing w:val="2"/>
        </w:rPr>
        <w:t>　</w:t>
      </w:r>
      <w:r>
        <w:rPr>
          <w:rFonts w:ascii="Times New Roman" w:hAnsi="Times New Roman" w:eastAsia="黑体"/>
          <w:color w:val="000000"/>
          <w:spacing w:val="2"/>
        </w:rPr>
        <w:t>生产</w:t>
      </w:r>
      <w:r>
        <w:rPr>
          <w:rFonts w:ascii="Times New Roman" w:hAnsi="Times New Roman" w:eastAsia="黑体"/>
          <w:color w:val="000000"/>
          <w:kern w:val="0"/>
        </w:rPr>
        <w:t>废弃物</w:t>
      </w:r>
      <w:r>
        <w:rPr>
          <w:rFonts w:ascii="Times New Roman" w:hAnsi="Times New Roman" w:eastAsia="黑体"/>
          <w:color w:val="000000"/>
          <w:spacing w:val="2"/>
        </w:rPr>
        <w:t>的处理</w:t>
      </w:r>
    </w:p>
    <w:p w14:paraId="6DFB6816">
      <w:pPr>
        <w:autoSpaceDE w:val="0"/>
        <w:autoSpaceDN w:val="0"/>
        <w:adjustRightInd w:val="0"/>
        <w:spacing w:line="380" w:lineRule="exact"/>
        <w:ind w:firstLine="428" w:firstLineChars="200"/>
        <w:rPr>
          <w:rFonts w:ascii="Times New Roman" w:hAnsi="Times New Roman" w:eastAsia="黑体"/>
          <w:color w:val="000000"/>
          <w:kern w:val="0"/>
        </w:rPr>
      </w:pPr>
      <w:r>
        <w:rPr>
          <w:color w:val="000000"/>
          <w:spacing w:val="2"/>
        </w:rPr>
        <w:t>地膜、肥料包装袋等应及时专门收集，集中处理；茶园修剪等产生的废弃枝叶和间作产生的作物秸秆等应保留在茶园，作为茶园覆盖物处理；茶叶加工中产生的废弃物如茶末、茶梗等，应收集集中后进行无害化处理，如将茶末堆积作有机肥料还园，或销售给专业公司作为</w:t>
      </w:r>
      <w:r>
        <w:rPr>
          <w:color w:val="000000"/>
          <w:spacing w:val="0"/>
          <w:kern w:val="0"/>
        </w:rPr>
        <w:t>生产吸附剂、活性炭、动物饲料、食用菌培养基等。</w:t>
      </w:r>
      <w:r>
        <w:rPr>
          <w:rFonts w:ascii="Times New Roman" w:hAnsi="Times New Roman" w:eastAsia="黑体"/>
          <w:color w:val="000000"/>
          <w:kern w:val="0"/>
        </w:rPr>
        <w:t xml:space="preserve">14 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包装、</w:t>
      </w:r>
      <w:r>
        <w:rPr>
          <w:rFonts w:hint="default" w:ascii="Times New Roman" w:hAnsi="Times New Roman" w:eastAsia="黑体"/>
          <w:color w:val="000000"/>
          <w:kern w:val="0"/>
          <w:lang w:eastAsia="zh-CN"/>
        </w:rPr>
        <w:t>储</w:t>
      </w:r>
      <w:r>
        <w:rPr>
          <w:rFonts w:ascii="Times New Roman" w:hAnsi="Times New Roman" w:eastAsia="黑体"/>
          <w:color w:val="000000"/>
          <w:kern w:val="0"/>
        </w:rPr>
        <w:t>藏和运输</w:t>
      </w:r>
    </w:p>
    <w:p w14:paraId="3162FA39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14.1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包装</w:t>
      </w:r>
    </w:p>
    <w:p w14:paraId="085D804D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eastAsia" w:ascii="Times New Roman" w:hAnsi="Times New Roman"/>
          <w:color w:val="000000"/>
          <w:kern w:val="0"/>
        </w:rPr>
      </w:pPr>
      <w:r>
        <w:rPr>
          <w:rFonts w:hint="default" w:ascii="Times New Roman" w:hAnsi="Times New Roman" w:cs="Times New Roman"/>
          <w:bCs/>
          <w:szCs w:val="21"/>
        </w:rPr>
        <w:t>产品包装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标识</w:t>
      </w:r>
      <w:r>
        <w:rPr>
          <w:rFonts w:hint="default" w:ascii="Times New Roman" w:hAnsi="Times New Roman" w:cs="Times New Roman"/>
          <w:bCs/>
          <w:szCs w:val="21"/>
        </w:rPr>
        <w:t>应符合GB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szCs w:val="21"/>
        </w:rPr>
        <w:t>7718</w:t>
      </w:r>
      <w:r>
        <w:rPr>
          <w:rFonts w:hint="eastAsia" w:ascii="Times New Roman" w:hAnsi="Times New Roman" w:cs="Times New Roman"/>
          <w:bCs/>
          <w:szCs w:val="21"/>
          <w:lang w:eastAsia="zh-CN"/>
        </w:rPr>
        <w:t>的</w:t>
      </w:r>
      <w:r>
        <w:rPr>
          <w:rFonts w:hint="default" w:ascii="Times New Roman" w:hAnsi="Times New Roman" w:cs="Times New Roman"/>
          <w:bCs/>
          <w:szCs w:val="21"/>
        </w:rPr>
        <w:t>要求，绿色食品标志使用应</w:t>
      </w:r>
      <w:r>
        <w:rPr>
          <w:rFonts w:ascii="Times New Roman" w:hAnsi="Times New Roman"/>
          <w:color w:val="000000"/>
          <w:kern w:val="0"/>
        </w:rPr>
        <w:t>符合NY/T 658的规定</w:t>
      </w:r>
      <w:r>
        <w:rPr>
          <w:rFonts w:hint="eastAsia" w:ascii="Times New Roman" w:hAnsi="Times New Roman"/>
          <w:color w:val="000000"/>
          <w:kern w:val="0"/>
          <w:lang w:eastAsia="zh-CN"/>
        </w:rPr>
        <w:t>。</w:t>
      </w:r>
    </w:p>
    <w:p w14:paraId="379D77CB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14.2</w:t>
      </w:r>
      <w:r>
        <w:rPr>
          <w:rFonts w:hint="default" w:ascii="Times New Roman" w:hAnsi="Times New Roman" w:eastAsia="黑体"/>
          <w:color w:val="000000"/>
          <w:kern w:val="0"/>
        </w:rPr>
        <w:t>　储藏</w:t>
      </w:r>
    </w:p>
    <w:p w14:paraId="08FFCD4B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储藏</w:t>
      </w:r>
      <w:r>
        <w:rPr>
          <w:rFonts w:ascii="Times New Roman" w:hAnsi="Times New Roman"/>
          <w:color w:val="000000"/>
          <w:kern w:val="0"/>
        </w:rPr>
        <w:t>条件应符合NY/T 1056的规定。</w:t>
      </w:r>
    </w:p>
    <w:p w14:paraId="285E1F66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ascii="Times New Roman" w:hAnsi="Times New Roman" w:eastAsia="黑体"/>
          <w:color w:val="000000"/>
          <w:kern w:val="0"/>
        </w:rPr>
        <w:t>14.3</w:t>
      </w:r>
      <w:r>
        <w:rPr>
          <w:rFonts w:hint="default" w:ascii="Times New Roman" w:hAnsi="Times New Roman" w:eastAsia="黑体"/>
          <w:color w:val="000000"/>
          <w:kern w:val="0"/>
        </w:rPr>
        <w:t>　</w:t>
      </w:r>
      <w:r>
        <w:rPr>
          <w:rFonts w:ascii="Times New Roman" w:hAnsi="Times New Roman" w:eastAsia="黑体"/>
          <w:color w:val="000000"/>
          <w:kern w:val="0"/>
        </w:rPr>
        <w:t>运输</w:t>
      </w:r>
    </w:p>
    <w:p w14:paraId="72F15EBE">
      <w:pPr>
        <w:autoSpaceDE w:val="0"/>
        <w:autoSpaceDN w:val="0"/>
        <w:adjustRightInd w:val="0"/>
        <w:spacing w:line="380" w:lineRule="exact"/>
        <w:ind w:firstLine="420" w:firstLineChars="200"/>
        <w:rPr>
          <w:rFonts w:ascii="Times New Roman" w:hAnsi="Times New Roman"/>
          <w:color w:val="000000"/>
          <w:kern w:val="0"/>
        </w:rPr>
      </w:pPr>
      <w:r>
        <w:rPr>
          <w:rFonts w:ascii="Times New Roman" w:hAnsi="Times New Roman"/>
          <w:color w:val="000000"/>
          <w:kern w:val="0"/>
        </w:rPr>
        <w:t>运输工具应清洁、干燥；</w:t>
      </w:r>
      <w:r>
        <w:rPr>
          <w:rFonts w:hint="default" w:ascii="Times New Roman" w:hAnsi="Times New Roman"/>
          <w:color w:val="000000"/>
          <w:kern w:val="0"/>
        </w:rPr>
        <w:t>运输时应防雨、防曝晒</w:t>
      </w:r>
      <w:r>
        <w:rPr>
          <w:rFonts w:ascii="Times New Roman" w:hAnsi="Times New Roman"/>
          <w:color w:val="000000"/>
          <w:kern w:val="0"/>
        </w:rPr>
        <w:t>避免受到污染。</w:t>
      </w:r>
    </w:p>
    <w:p w14:paraId="4AEE3BA9">
      <w:pPr>
        <w:autoSpaceDE w:val="0"/>
        <w:autoSpaceDN w:val="0"/>
        <w:adjustRightInd w:val="0"/>
        <w:spacing w:line="380" w:lineRule="exact"/>
        <w:rPr>
          <w:rFonts w:ascii="Times New Roman" w:hAnsi="Times New Roman" w:eastAsia="黑体"/>
          <w:color w:val="000000"/>
          <w:kern w:val="0"/>
        </w:rPr>
      </w:pPr>
      <w:r>
        <w:rPr>
          <w:rFonts w:hint="default" w:ascii="Times New Roman" w:hAnsi="Times New Roman" w:eastAsia="黑体"/>
          <w:color w:val="000000"/>
          <w:kern w:val="0"/>
        </w:rPr>
        <w:t>15　</w:t>
      </w:r>
      <w:r>
        <w:rPr>
          <w:rFonts w:ascii="Times New Roman" w:hAnsi="Times New Roman" w:eastAsia="黑体"/>
          <w:color w:val="000000"/>
          <w:kern w:val="0"/>
        </w:rPr>
        <w:t>生产档案</w:t>
      </w:r>
    </w:p>
    <w:p w14:paraId="43D4B033">
      <w:pPr>
        <w:autoSpaceDE w:val="0"/>
        <w:autoSpaceDN w:val="0"/>
        <w:adjustRightInd w:val="0"/>
        <w:spacing w:line="380" w:lineRule="exact"/>
        <w:ind w:firstLine="420" w:firstLineChars="200"/>
        <w:rPr>
          <w:rFonts w:hint="default" w:ascii="Times New Roman" w:hAnsi="Times New Roman"/>
          <w:color w:val="000000"/>
          <w:kern w:val="0"/>
        </w:rPr>
      </w:pPr>
      <w:r>
        <w:rPr>
          <w:rFonts w:hint="default" w:ascii="Times New Roman" w:hAnsi="Times New Roman"/>
          <w:color w:val="000000"/>
          <w:kern w:val="0"/>
        </w:rPr>
        <w:t>建立绿色食品乌龙茶生产档案，包括生产投入品采购、出入库、使用记录、农事记录、加工记录等。建立可追溯体系，生产、加工、储藏、销售等环节，有连续的、可追踪的生产批号系统，根据批号系统能查询到完整的档案记录。档案记录应保存3年以上。</w:t>
      </w:r>
    </w:p>
    <w:p w14:paraId="296A2726">
      <w:pPr>
        <w:autoSpaceDE w:val="0"/>
        <w:autoSpaceDN w:val="0"/>
        <w:adjustRightInd w:val="0"/>
        <w:spacing w:line="380" w:lineRule="exact"/>
        <w:rPr>
          <w:rFonts w:ascii="Times New Roman" w:hAnsi="Times New Roman" w:cs="Times New Roman"/>
          <w:kern w:val="0"/>
        </w:rPr>
      </w:pPr>
    </w:p>
    <w:p w14:paraId="246C1EE8">
      <w:pPr>
        <w:autoSpaceDE w:val="0"/>
        <w:autoSpaceDN w:val="0"/>
        <w:adjustRightInd w:val="0"/>
        <w:spacing w:line="520" w:lineRule="exact"/>
        <w:rPr>
          <w:rFonts w:ascii="Times New Roman" w:hAnsi="Times New Roman" w:cs="Times New Roman"/>
          <w:kern w:val="0"/>
        </w:rPr>
      </w:pPr>
    </w:p>
    <w:p w14:paraId="3A7BFEA9">
      <w:pPr>
        <w:autoSpaceDE w:val="0"/>
        <w:autoSpaceDN w:val="0"/>
        <w:adjustRightInd w:val="0"/>
        <w:spacing w:line="520" w:lineRule="exact"/>
        <w:rPr>
          <w:rFonts w:ascii="Times New Roman" w:hAnsi="Times New Roman" w:cs="Times New Roman"/>
          <w:kern w:val="0"/>
        </w:rPr>
      </w:pPr>
    </w:p>
    <w:p w14:paraId="2343B312">
      <w:pPr>
        <w:autoSpaceDE w:val="0"/>
        <w:autoSpaceDN w:val="0"/>
        <w:adjustRightInd w:val="0"/>
        <w:spacing w:line="520" w:lineRule="exact"/>
        <w:rPr>
          <w:rFonts w:ascii="Times New Roman" w:hAnsi="Times New Roman" w:cs="Times New Roman"/>
          <w:kern w:val="0"/>
        </w:rPr>
      </w:pPr>
    </w:p>
    <w:p w14:paraId="212F4E34">
      <w:pPr>
        <w:spacing w:line="520" w:lineRule="exact"/>
        <w:jc w:val="center"/>
        <w:rPr>
          <w:rFonts w:ascii="Times New Roman" w:hAnsi="Times New Roman"/>
          <w:sz w:val="24"/>
        </w:rPr>
      </w:pPr>
    </w:p>
    <w:p w14:paraId="0B537F1E">
      <w:pPr>
        <w:spacing w:line="520" w:lineRule="exact"/>
        <w:jc w:val="center"/>
        <w:rPr>
          <w:rFonts w:ascii="Times New Roman" w:hAnsi="Times New Roman"/>
          <w:sz w:val="24"/>
        </w:rPr>
      </w:pPr>
    </w:p>
    <w:p w14:paraId="43FA33A8">
      <w:pPr>
        <w:spacing w:line="520" w:lineRule="exact"/>
        <w:jc w:val="center"/>
        <w:rPr>
          <w:rFonts w:ascii="Times New Roman" w:hAnsi="Times New Roman"/>
          <w:sz w:val="24"/>
        </w:rPr>
      </w:pPr>
    </w:p>
    <w:p w14:paraId="5AB03C0C">
      <w:pPr>
        <w:spacing w:line="520" w:lineRule="exact"/>
        <w:jc w:val="center"/>
        <w:rPr>
          <w:rFonts w:ascii="Times New Roman" w:hAnsi="Times New Roman"/>
          <w:sz w:val="24"/>
        </w:rPr>
      </w:pPr>
    </w:p>
    <w:p w14:paraId="11BA28EB">
      <w:pPr>
        <w:spacing w:line="520" w:lineRule="exact"/>
        <w:jc w:val="center"/>
        <w:rPr>
          <w:rFonts w:ascii="Times New Roman" w:hAnsi="Times New Roman"/>
          <w:sz w:val="24"/>
        </w:rPr>
      </w:pPr>
    </w:p>
    <w:p w14:paraId="69D69AD0">
      <w:pPr>
        <w:spacing w:line="520" w:lineRule="exact"/>
        <w:jc w:val="center"/>
        <w:rPr>
          <w:rFonts w:ascii="Times New Roman" w:hAnsi="Times New Roman"/>
          <w:sz w:val="24"/>
        </w:rPr>
      </w:pPr>
    </w:p>
    <w:p w14:paraId="0E70FA7E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7A799FBB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10016737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6B08F45D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028F4431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5020924D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7C71512E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35B66389">
      <w:pPr>
        <w:spacing w:line="520" w:lineRule="exact"/>
        <w:jc w:val="both"/>
        <w:rPr>
          <w:rFonts w:ascii="Times New Roman" w:hAnsi="Times New Roman"/>
          <w:sz w:val="24"/>
        </w:rPr>
      </w:pPr>
    </w:p>
    <w:p w14:paraId="194353C8">
      <w:pPr>
        <w:pStyle w:val="24"/>
        <w:spacing w:line="240" w:lineRule="auto"/>
        <w:ind w:firstLine="0" w:firstLineChars="0"/>
        <w:contextualSpacing/>
        <w:jc w:val="center"/>
        <w:rPr>
          <w:rFonts w:ascii="Times New Roman" w:hAnsi="Times New Roman" w:eastAsia="黑体" w:cs="Times New Roman"/>
        </w:rPr>
      </w:pPr>
    </w:p>
    <w:p w14:paraId="48E1B98F">
      <w:pPr>
        <w:pStyle w:val="24"/>
        <w:spacing w:line="240" w:lineRule="auto"/>
        <w:ind w:firstLine="0" w:firstLineChars="0"/>
        <w:contextualSpacing/>
        <w:jc w:val="center"/>
        <w:rPr>
          <w:rFonts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附录</w:t>
      </w:r>
      <w:r>
        <w:rPr>
          <w:rFonts w:ascii="Times New Roman" w:hAnsi="Times New Roman" w:eastAsia="黑体" w:cs="Times New Roman"/>
        </w:rPr>
        <w:t>A</w:t>
      </w:r>
    </w:p>
    <w:p w14:paraId="62A59887">
      <w:pPr>
        <w:pStyle w:val="24"/>
        <w:spacing w:line="240" w:lineRule="auto"/>
        <w:ind w:firstLine="0" w:firstLineChars="0"/>
        <w:contextualSpacing/>
        <w:jc w:val="center"/>
        <w:rPr>
          <w:rFonts w:hint="default" w:ascii="Times New Roman" w:eastAsia="黑体"/>
        </w:rPr>
      </w:pPr>
      <w:r>
        <w:rPr>
          <w:rFonts w:hint="default" w:ascii="Times New Roman" w:eastAsia="黑体"/>
        </w:rPr>
        <w:t>（资料性附录）</w:t>
      </w:r>
    </w:p>
    <w:p w14:paraId="173005E0">
      <w:pPr>
        <w:pStyle w:val="24"/>
        <w:ind w:firstLine="0" w:firstLineChars="0"/>
        <w:contextualSpacing/>
        <w:jc w:val="center"/>
        <w:rPr>
          <w:rFonts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福建地区  绿色食品乌龙茶生产主要病虫害化学防治方案</w:t>
      </w:r>
    </w:p>
    <w:tbl>
      <w:tblPr>
        <w:tblStyle w:val="10"/>
        <w:tblW w:w="94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559"/>
        <w:gridCol w:w="2692"/>
        <w:gridCol w:w="1611"/>
        <w:gridCol w:w="979"/>
        <w:gridCol w:w="1300"/>
      </w:tblGrid>
      <w:tr w14:paraId="12DC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6" w:type="dxa"/>
            <w:noWrap w:val="0"/>
            <w:vAlign w:val="center"/>
          </w:tcPr>
          <w:p w14:paraId="62DB0C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防治对象</w:t>
            </w:r>
          </w:p>
        </w:tc>
        <w:tc>
          <w:tcPr>
            <w:tcW w:w="1559" w:type="dxa"/>
            <w:noWrap w:val="0"/>
            <w:vAlign w:val="center"/>
          </w:tcPr>
          <w:p w14:paraId="1FE15E45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防治时期</w:t>
            </w:r>
          </w:p>
        </w:tc>
        <w:tc>
          <w:tcPr>
            <w:tcW w:w="2692" w:type="dxa"/>
            <w:noWrap w:val="0"/>
            <w:vAlign w:val="center"/>
          </w:tcPr>
          <w:p w14:paraId="09A197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农药名称</w:t>
            </w:r>
          </w:p>
        </w:tc>
        <w:tc>
          <w:tcPr>
            <w:tcW w:w="1611" w:type="dxa"/>
            <w:noWrap w:val="0"/>
            <w:vAlign w:val="center"/>
          </w:tcPr>
          <w:p w14:paraId="7858E1A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使用剂量</w:t>
            </w:r>
          </w:p>
        </w:tc>
        <w:tc>
          <w:tcPr>
            <w:tcW w:w="979" w:type="dxa"/>
            <w:noWrap w:val="0"/>
            <w:vAlign w:val="center"/>
          </w:tcPr>
          <w:p w14:paraId="4081F0D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施药方法</w:t>
            </w:r>
          </w:p>
        </w:tc>
        <w:tc>
          <w:tcPr>
            <w:tcW w:w="1300" w:type="dxa"/>
            <w:noWrap w:val="0"/>
            <w:vAlign w:val="center"/>
          </w:tcPr>
          <w:p w14:paraId="044CB1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安全间隔期</w:t>
            </w:r>
          </w:p>
          <w:p w14:paraId="116C840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/>
                <w:b/>
                <w:color w:val="000000"/>
                <w:kern w:val="0"/>
                <w:sz w:val="18"/>
                <w:szCs w:val="18"/>
              </w:rPr>
              <w:t>（天）</w:t>
            </w:r>
          </w:p>
        </w:tc>
      </w:tr>
      <w:tr w14:paraId="341D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740196B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茶小绿叶蝉</w:t>
            </w:r>
          </w:p>
        </w:tc>
        <w:tc>
          <w:tcPr>
            <w:tcW w:w="1559" w:type="dxa"/>
            <w:noWrap w:val="0"/>
            <w:vAlign w:val="center"/>
          </w:tcPr>
          <w:p w14:paraId="706FB0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若虫盛发初期</w:t>
            </w:r>
          </w:p>
        </w:tc>
        <w:tc>
          <w:tcPr>
            <w:tcW w:w="2692" w:type="dxa"/>
            <w:noWrap w:val="0"/>
            <w:vAlign w:val="center"/>
          </w:tcPr>
          <w:p w14:paraId="3FF42B72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1%印楝素</w:t>
            </w:r>
            <w:r>
              <w:rPr>
                <w:rFonts w:ascii="Times New Roman" w:hAnsi="Times New Roman"/>
                <w:sz w:val="18"/>
                <w:szCs w:val="18"/>
              </w:rPr>
              <w:t>微乳剂</w:t>
            </w:r>
          </w:p>
        </w:tc>
        <w:tc>
          <w:tcPr>
            <w:tcW w:w="1611" w:type="dxa"/>
            <w:noWrap w:val="0"/>
            <w:vAlign w:val="center"/>
          </w:tcPr>
          <w:p w14:paraId="63EEE65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FF0000"/>
                <w:kern w:val="2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27-45</w:t>
            </w:r>
            <w:r>
              <w:rPr>
                <w:rFonts w:hint="default" w:ascii="Times New Roman" w:hAnsi="Times New Roman"/>
                <w:color w:val="000000"/>
                <w:sz w:val="18"/>
                <w:szCs w:val="18"/>
              </w:rPr>
              <w:t>ml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/亩</w:t>
            </w:r>
          </w:p>
        </w:tc>
        <w:tc>
          <w:tcPr>
            <w:tcW w:w="979" w:type="dxa"/>
            <w:noWrap w:val="0"/>
            <w:vAlign w:val="center"/>
          </w:tcPr>
          <w:p w14:paraId="3EA6408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43FB453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--</w:t>
            </w:r>
          </w:p>
        </w:tc>
      </w:tr>
      <w:tr w14:paraId="448F7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142D6CC0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F7F4ED2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发生初期</w:t>
            </w:r>
          </w:p>
        </w:tc>
        <w:tc>
          <w:tcPr>
            <w:tcW w:w="2692" w:type="dxa"/>
            <w:noWrap w:val="0"/>
            <w:vAlign w:val="center"/>
          </w:tcPr>
          <w:p w14:paraId="22CE32B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25%噻虫嗪水分散粒剂</w:t>
            </w:r>
          </w:p>
        </w:tc>
        <w:tc>
          <w:tcPr>
            <w:tcW w:w="1611" w:type="dxa"/>
            <w:noWrap w:val="0"/>
            <w:vAlign w:val="center"/>
          </w:tcPr>
          <w:p w14:paraId="08C1DB2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4-6g/亩</w:t>
            </w:r>
          </w:p>
        </w:tc>
        <w:tc>
          <w:tcPr>
            <w:tcW w:w="979" w:type="dxa"/>
            <w:noWrap w:val="0"/>
            <w:vAlign w:val="center"/>
          </w:tcPr>
          <w:p w14:paraId="071B1742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624BA02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3</w:t>
            </w:r>
          </w:p>
        </w:tc>
      </w:tr>
      <w:tr w14:paraId="11B78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0765BA47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F090261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发生初期</w:t>
            </w:r>
          </w:p>
        </w:tc>
        <w:tc>
          <w:tcPr>
            <w:tcW w:w="2692" w:type="dxa"/>
            <w:noWrap w:val="0"/>
            <w:vAlign w:val="center"/>
          </w:tcPr>
          <w:p w14:paraId="6C1BE0F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50%啶虫脒水分散粒剂</w:t>
            </w:r>
          </w:p>
        </w:tc>
        <w:tc>
          <w:tcPr>
            <w:tcW w:w="1611" w:type="dxa"/>
            <w:noWrap w:val="0"/>
            <w:vAlign w:val="center"/>
          </w:tcPr>
          <w:p w14:paraId="60ED216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2-3 g/亩</w:t>
            </w:r>
          </w:p>
        </w:tc>
        <w:tc>
          <w:tcPr>
            <w:tcW w:w="979" w:type="dxa"/>
            <w:noWrap w:val="0"/>
            <w:vAlign w:val="center"/>
          </w:tcPr>
          <w:p w14:paraId="3EFCD794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65266CB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14</w:t>
            </w:r>
          </w:p>
        </w:tc>
      </w:tr>
      <w:tr w14:paraId="5BDE5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1115BFA2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CD095F7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若虫</w:t>
            </w: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盛发</w:t>
            </w:r>
            <w:r>
              <w:rPr>
                <w:rFonts w:hint="default" w:ascii="Times New Roman" w:hAnsi="Times New Roman"/>
                <w:sz w:val="18"/>
                <w:szCs w:val="18"/>
              </w:rPr>
              <w:t>期</w:t>
            </w:r>
          </w:p>
        </w:tc>
        <w:tc>
          <w:tcPr>
            <w:tcW w:w="2692" w:type="dxa"/>
            <w:noWrap w:val="0"/>
            <w:vAlign w:val="center"/>
          </w:tcPr>
          <w:p w14:paraId="6A15610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150克/升</w:t>
            </w:r>
            <w:r>
              <w:rPr>
                <w:rFonts w:hint="default" w:ascii="Times New Roman" w:hAnsi="Times New Roman"/>
                <w:sz w:val="18"/>
                <w:szCs w:val="18"/>
              </w:rPr>
              <w:t>茚虫威</w:t>
            </w:r>
            <w:r>
              <w:rPr>
                <w:rFonts w:hint="default" w:ascii="Times New Roman" w:hAnsi="Times New Roman" w:cs="Times New Roman"/>
                <w:color w:val="333333"/>
                <w:sz w:val="18"/>
                <w:szCs w:val="18"/>
                <w:shd w:val="clear" w:color="auto" w:fill="auto"/>
              </w:rPr>
              <w:t>乳油</w:t>
            </w:r>
          </w:p>
        </w:tc>
        <w:tc>
          <w:tcPr>
            <w:tcW w:w="1611" w:type="dxa"/>
            <w:noWrap w:val="0"/>
            <w:vAlign w:val="center"/>
          </w:tcPr>
          <w:p w14:paraId="509C23A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17-22ml/亩</w:t>
            </w:r>
          </w:p>
        </w:tc>
        <w:tc>
          <w:tcPr>
            <w:tcW w:w="979" w:type="dxa"/>
            <w:noWrap w:val="0"/>
            <w:vAlign w:val="center"/>
          </w:tcPr>
          <w:p w14:paraId="6F3F8155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237683C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Style w:val="12"/>
                <w:rFonts w:hint="default" w:ascii="Times New Roman" w:hAnsi="Times New Roman" w:cs="Times New Roman"/>
                <w:color w:val="333333"/>
                <w:sz w:val="18"/>
                <w:szCs w:val="18"/>
              </w:rPr>
              <w:t>10</w:t>
            </w:r>
          </w:p>
        </w:tc>
      </w:tr>
      <w:tr w14:paraId="5BF5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6" w:type="dxa"/>
            <w:noWrap w:val="0"/>
            <w:vAlign w:val="center"/>
          </w:tcPr>
          <w:p w14:paraId="408A691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茶橙瘿螨</w:t>
            </w:r>
          </w:p>
          <w:p w14:paraId="5AC0FAF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（螨虫）</w:t>
            </w:r>
          </w:p>
        </w:tc>
        <w:tc>
          <w:tcPr>
            <w:tcW w:w="1559" w:type="dxa"/>
            <w:noWrap w:val="0"/>
            <w:vAlign w:val="center"/>
          </w:tcPr>
          <w:p w14:paraId="4E09A0E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3-5头/cm时</w:t>
            </w:r>
          </w:p>
        </w:tc>
        <w:tc>
          <w:tcPr>
            <w:tcW w:w="2692" w:type="dxa"/>
            <w:noWrap w:val="0"/>
            <w:vAlign w:val="center"/>
          </w:tcPr>
          <w:p w14:paraId="3A510AE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333333"/>
                <w:sz w:val="18"/>
                <w:szCs w:val="18"/>
                <w:shd w:val="clear" w:color="auto" w:fill="auto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45%石硫合剂结晶</w:t>
            </w:r>
          </w:p>
        </w:tc>
        <w:tc>
          <w:tcPr>
            <w:tcW w:w="1611" w:type="dxa"/>
            <w:noWrap w:val="0"/>
            <w:vAlign w:val="center"/>
          </w:tcPr>
          <w:p w14:paraId="4FA50A7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150倍液</w:t>
            </w:r>
          </w:p>
        </w:tc>
        <w:tc>
          <w:tcPr>
            <w:tcW w:w="979" w:type="dxa"/>
            <w:noWrap w:val="0"/>
            <w:vAlign w:val="center"/>
          </w:tcPr>
          <w:p w14:paraId="0C0A212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05C93EE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封园防治</w:t>
            </w:r>
          </w:p>
        </w:tc>
      </w:tr>
      <w:tr w14:paraId="7F2E0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499EB80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茶毛虫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43F1EB6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低龄幼虫期</w:t>
            </w:r>
          </w:p>
        </w:tc>
        <w:tc>
          <w:tcPr>
            <w:tcW w:w="2692" w:type="dxa"/>
            <w:noWrap w:val="0"/>
            <w:vAlign w:val="center"/>
          </w:tcPr>
          <w:p w14:paraId="4C574EE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16000IU/mg苏云金杆菌可湿性粉剂</w:t>
            </w:r>
          </w:p>
        </w:tc>
        <w:tc>
          <w:tcPr>
            <w:tcW w:w="1611" w:type="dxa"/>
            <w:noWrap w:val="0"/>
            <w:vAlign w:val="center"/>
          </w:tcPr>
          <w:p w14:paraId="2374C4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800-1600倍液</w:t>
            </w:r>
          </w:p>
        </w:tc>
        <w:tc>
          <w:tcPr>
            <w:tcW w:w="979" w:type="dxa"/>
            <w:noWrap w:val="0"/>
            <w:vAlign w:val="center"/>
          </w:tcPr>
          <w:p w14:paraId="49CFA91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1D0D04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--</w:t>
            </w:r>
          </w:p>
        </w:tc>
      </w:tr>
      <w:tr w14:paraId="6A0F2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44A4D063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25B56ADB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4F4BE5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0.5%苦参碱水剂</w:t>
            </w:r>
          </w:p>
        </w:tc>
        <w:tc>
          <w:tcPr>
            <w:tcW w:w="1611" w:type="dxa"/>
            <w:noWrap w:val="0"/>
            <w:vAlign w:val="center"/>
          </w:tcPr>
          <w:p w14:paraId="20C49EA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70-90ml/亩</w:t>
            </w:r>
          </w:p>
        </w:tc>
        <w:tc>
          <w:tcPr>
            <w:tcW w:w="979" w:type="dxa"/>
            <w:noWrap w:val="0"/>
            <w:vAlign w:val="center"/>
          </w:tcPr>
          <w:p w14:paraId="379C248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1B908D4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  <w:lang w:eastAsia="zh-CN"/>
              </w:rPr>
              <w:t>3</w:t>
            </w:r>
          </w:p>
        </w:tc>
      </w:tr>
      <w:tr w14:paraId="23B4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4C756A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茶尺蠖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0A1C6F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低龄幼虫期或始盛期</w:t>
            </w:r>
          </w:p>
        </w:tc>
        <w:tc>
          <w:tcPr>
            <w:tcW w:w="2692" w:type="dxa"/>
            <w:noWrap w:val="0"/>
            <w:vAlign w:val="center"/>
          </w:tcPr>
          <w:p w14:paraId="499DC88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0.6%苦参碱水剂</w:t>
            </w:r>
          </w:p>
        </w:tc>
        <w:tc>
          <w:tcPr>
            <w:tcW w:w="1611" w:type="dxa"/>
            <w:noWrap w:val="0"/>
            <w:vAlign w:val="center"/>
          </w:tcPr>
          <w:p w14:paraId="62905F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60-75ml/亩</w:t>
            </w:r>
          </w:p>
        </w:tc>
        <w:tc>
          <w:tcPr>
            <w:tcW w:w="979" w:type="dxa"/>
            <w:noWrap w:val="0"/>
            <w:vAlign w:val="center"/>
          </w:tcPr>
          <w:p w14:paraId="46A3FE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6D3595C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--</w:t>
            </w:r>
          </w:p>
        </w:tc>
      </w:tr>
      <w:tr w14:paraId="4319B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3CAA0B5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74783E8F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5F37522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20%甲氰菊酯</w:t>
            </w:r>
            <w:r>
              <w:rPr>
                <w:rFonts w:hint="default" w:ascii="Times New Roman" w:hAnsi="Times New Roman"/>
                <w:color w:val="333333"/>
                <w:sz w:val="18"/>
                <w:szCs w:val="18"/>
              </w:rPr>
              <w:t>乳油</w:t>
            </w:r>
          </w:p>
        </w:tc>
        <w:tc>
          <w:tcPr>
            <w:tcW w:w="1611" w:type="dxa"/>
            <w:noWrap w:val="0"/>
            <w:vAlign w:val="center"/>
          </w:tcPr>
          <w:p w14:paraId="1C6EFAA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7.5-9.5g/亩</w:t>
            </w:r>
          </w:p>
        </w:tc>
        <w:tc>
          <w:tcPr>
            <w:tcW w:w="979" w:type="dxa"/>
            <w:noWrap w:val="0"/>
            <w:vAlign w:val="center"/>
          </w:tcPr>
          <w:p w14:paraId="2A3169A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7C76C2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7</w:t>
            </w:r>
          </w:p>
        </w:tc>
      </w:tr>
      <w:tr w14:paraId="04F3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296" w:type="dxa"/>
            <w:noWrap w:val="0"/>
            <w:vAlign w:val="center"/>
          </w:tcPr>
          <w:p w14:paraId="1980A8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茶饼病</w:t>
            </w:r>
          </w:p>
        </w:tc>
        <w:tc>
          <w:tcPr>
            <w:tcW w:w="1559" w:type="dxa"/>
            <w:noWrap w:val="0"/>
            <w:vAlign w:val="center"/>
          </w:tcPr>
          <w:p w14:paraId="7D89083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发病前或初期</w:t>
            </w:r>
          </w:p>
        </w:tc>
        <w:tc>
          <w:tcPr>
            <w:tcW w:w="2692" w:type="dxa"/>
            <w:noWrap w:val="0"/>
            <w:vAlign w:val="center"/>
          </w:tcPr>
          <w:p w14:paraId="54F9CB7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333333"/>
                <w:sz w:val="18"/>
                <w:szCs w:val="18"/>
              </w:rPr>
              <w:t>1.5%多抗霉素可湿性粉剂</w:t>
            </w:r>
          </w:p>
        </w:tc>
        <w:tc>
          <w:tcPr>
            <w:tcW w:w="1611" w:type="dxa"/>
            <w:noWrap w:val="0"/>
            <w:vAlign w:val="center"/>
          </w:tcPr>
          <w:p w14:paraId="390D16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150倍液</w:t>
            </w:r>
          </w:p>
        </w:tc>
        <w:tc>
          <w:tcPr>
            <w:tcW w:w="979" w:type="dxa"/>
            <w:noWrap w:val="0"/>
            <w:vAlign w:val="center"/>
          </w:tcPr>
          <w:p w14:paraId="5379E0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09C12F3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--</w:t>
            </w:r>
          </w:p>
        </w:tc>
      </w:tr>
      <w:tr w14:paraId="36B2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296" w:type="dxa"/>
            <w:vMerge w:val="restart"/>
            <w:noWrap w:val="0"/>
            <w:vAlign w:val="center"/>
          </w:tcPr>
          <w:p w14:paraId="1A57DA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茶炭疽病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 w14:paraId="2091CE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发病前或初期</w:t>
            </w:r>
          </w:p>
        </w:tc>
        <w:tc>
          <w:tcPr>
            <w:tcW w:w="2692" w:type="dxa"/>
            <w:noWrap w:val="0"/>
            <w:vAlign w:val="center"/>
          </w:tcPr>
          <w:p w14:paraId="786C87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70C3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</w:rPr>
              <w:t>46%</w:t>
            </w:r>
            <w:r>
              <w:rPr>
                <w:rFonts w:hint="default" w:ascii="Times New Roman" w:hAnsi="Times New Roman"/>
                <w:color w:val="333333"/>
                <w:sz w:val="18"/>
                <w:szCs w:val="18"/>
              </w:rPr>
              <w:t>氢氧化铜水分散粒剂</w:t>
            </w:r>
          </w:p>
        </w:tc>
        <w:tc>
          <w:tcPr>
            <w:tcW w:w="1611" w:type="dxa"/>
            <w:noWrap w:val="0"/>
            <w:vAlign w:val="center"/>
          </w:tcPr>
          <w:p w14:paraId="06178A3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70C3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1500-2000倍液</w:t>
            </w:r>
          </w:p>
        </w:tc>
        <w:tc>
          <w:tcPr>
            <w:tcW w:w="979" w:type="dxa"/>
            <w:noWrap w:val="0"/>
            <w:vAlign w:val="center"/>
          </w:tcPr>
          <w:p w14:paraId="2026F68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70C3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592AD56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70C3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5</w:t>
            </w:r>
          </w:p>
        </w:tc>
      </w:tr>
      <w:tr w14:paraId="5F3A7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96" w:type="dxa"/>
            <w:vMerge w:val="continue"/>
            <w:noWrap w:val="0"/>
            <w:vAlign w:val="center"/>
          </w:tcPr>
          <w:p w14:paraId="7339DF85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49BFA45A">
            <w:pPr>
              <w:adjustRightInd w:val="0"/>
              <w:snapToGrid w:val="0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2" w:type="dxa"/>
            <w:noWrap w:val="0"/>
            <w:vAlign w:val="center"/>
          </w:tcPr>
          <w:p w14:paraId="787D57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10%苯醚甲环唑水分散粒剂</w:t>
            </w:r>
          </w:p>
        </w:tc>
        <w:tc>
          <w:tcPr>
            <w:tcW w:w="1611" w:type="dxa"/>
            <w:noWrap w:val="0"/>
            <w:vAlign w:val="center"/>
          </w:tcPr>
          <w:p w14:paraId="28E8031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sz w:val="18"/>
                <w:szCs w:val="18"/>
              </w:rPr>
            </w:pPr>
            <w:r>
              <w:rPr>
                <w:rFonts w:hint="default" w:ascii="Times New Roman" w:hAnsi="Times New Roman"/>
                <w:sz w:val="18"/>
                <w:szCs w:val="18"/>
              </w:rPr>
              <w:t>1000-1500倍液</w:t>
            </w:r>
          </w:p>
        </w:tc>
        <w:tc>
          <w:tcPr>
            <w:tcW w:w="979" w:type="dxa"/>
            <w:noWrap w:val="0"/>
            <w:vAlign w:val="center"/>
          </w:tcPr>
          <w:p w14:paraId="42A1FD4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喷雾</w:t>
            </w:r>
          </w:p>
        </w:tc>
        <w:tc>
          <w:tcPr>
            <w:tcW w:w="1300" w:type="dxa"/>
            <w:noWrap w:val="0"/>
            <w:vAlign w:val="center"/>
          </w:tcPr>
          <w:p w14:paraId="4C19ABD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14</w:t>
            </w:r>
          </w:p>
        </w:tc>
      </w:tr>
      <w:tr w14:paraId="7D778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437" w:type="dxa"/>
            <w:gridSpan w:val="6"/>
            <w:noWrap w:val="0"/>
            <w:vAlign w:val="center"/>
          </w:tcPr>
          <w:p w14:paraId="0B56244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Times New Roman" w:hAnsi="Times New Roman"/>
                <w:color w:val="000000"/>
                <w:kern w:val="2"/>
                <w:sz w:val="18"/>
                <w:szCs w:val="18"/>
              </w:rPr>
              <w:t>注：农药使用以最新版本NY/T393的规定为准。</w:t>
            </w:r>
          </w:p>
        </w:tc>
      </w:tr>
    </w:tbl>
    <w:p w14:paraId="45B61D0A">
      <w:pPr>
        <w:spacing w:line="240" w:lineRule="auto"/>
        <w:rPr>
          <w:rFonts w:ascii="Times New Roman" w:hAnsi="Times New Roman"/>
        </w:rPr>
      </w:pPr>
    </w:p>
    <w:p w14:paraId="77CD6826">
      <w:pPr>
        <w:spacing w:line="240" w:lineRule="auto"/>
        <w:rPr>
          <w:rFonts w:ascii="Times New Roman" w:hAnsi="Times New Roman"/>
        </w:rPr>
      </w:pPr>
    </w:p>
    <w:p w14:paraId="46088B6B">
      <w:pPr>
        <w:spacing w:line="240" w:lineRule="auto"/>
        <w:rPr>
          <w:rFonts w:hint="default" w:ascii="Times New Roman" w:hAnsi="Times New Roman"/>
        </w:rPr>
      </w:pPr>
    </w:p>
    <w:p w14:paraId="5078F842">
      <w:pPr>
        <w:rPr>
          <w:rFonts w:ascii="Times New Roman" w:hAnsi="Times New Roman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72AEB1"/>
    <w:multiLevelType w:val="multilevel"/>
    <w:tmpl w:val="3C72AEB1"/>
    <w:lvl w:ilvl="0" w:tentative="0">
      <w:start w:val="1"/>
      <w:numFmt w:val="upperLetter"/>
      <w:pStyle w:val="40"/>
      <w:suff w:val="nothing"/>
      <w:lvlText w:val="附　录　%1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suff w:val="nothing"/>
      <w:lvlText w:val="%1.%2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81"/>
    <w:rsid w:val="00000AC0"/>
    <w:rsid w:val="00005D85"/>
    <w:rsid w:val="000104EB"/>
    <w:rsid w:val="00010D47"/>
    <w:rsid w:val="0002351A"/>
    <w:rsid w:val="0002380B"/>
    <w:rsid w:val="00057626"/>
    <w:rsid w:val="0006105C"/>
    <w:rsid w:val="0006558E"/>
    <w:rsid w:val="0006633E"/>
    <w:rsid w:val="000800AB"/>
    <w:rsid w:val="00081E60"/>
    <w:rsid w:val="00083BA5"/>
    <w:rsid w:val="000A3BF0"/>
    <w:rsid w:val="000A641B"/>
    <w:rsid w:val="000B2ECA"/>
    <w:rsid w:val="000C3DFB"/>
    <w:rsid w:val="000C7CFE"/>
    <w:rsid w:val="000D788B"/>
    <w:rsid w:val="000F0B2D"/>
    <w:rsid w:val="001049E5"/>
    <w:rsid w:val="001214BA"/>
    <w:rsid w:val="00131890"/>
    <w:rsid w:val="00132ED1"/>
    <w:rsid w:val="0014048A"/>
    <w:rsid w:val="0014547E"/>
    <w:rsid w:val="00157A40"/>
    <w:rsid w:val="001625D7"/>
    <w:rsid w:val="00167415"/>
    <w:rsid w:val="001720E7"/>
    <w:rsid w:val="00180E21"/>
    <w:rsid w:val="00183037"/>
    <w:rsid w:val="0018761E"/>
    <w:rsid w:val="001907C9"/>
    <w:rsid w:val="001934C7"/>
    <w:rsid w:val="00193A56"/>
    <w:rsid w:val="001A516F"/>
    <w:rsid w:val="001A5B46"/>
    <w:rsid w:val="001A670D"/>
    <w:rsid w:val="001B5147"/>
    <w:rsid w:val="001C6DA3"/>
    <w:rsid w:val="001C7D6C"/>
    <w:rsid w:val="001D5E73"/>
    <w:rsid w:val="001E12AD"/>
    <w:rsid w:val="001F03D2"/>
    <w:rsid w:val="001F04A4"/>
    <w:rsid w:val="001F0739"/>
    <w:rsid w:val="00200051"/>
    <w:rsid w:val="002020EF"/>
    <w:rsid w:val="002052B8"/>
    <w:rsid w:val="00214C71"/>
    <w:rsid w:val="00222A8A"/>
    <w:rsid w:val="0022378E"/>
    <w:rsid w:val="0023017C"/>
    <w:rsid w:val="00236CBE"/>
    <w:rsid w:val="0024089E"/>
    <w:rsid w:val="00257AF7"/>
    <w:rsid w:val="00271A2E"/>
    <w:rsid w:val="00282BA6"/>
    <w:rsid w:val="0029542D"/>
    <w:rsid w:val="0029566D"/>
    <w:rsid w:val="002B1E8D"/>
    <w:rsid w:val="002B5C62"/>
    <w:rsid w:val="002C5121"/>
    <w:rsid w:val="002D532D"/>
    <w:rsid w:val="002D7F61"/>
    <w:rsid w:val="002F2CC4"/>
    <w:rsid w:val="003000C6"/>
    <w:rsid w:val="0030254C"/>
    <w:rsid w:val="00305A72"/>
    <w:rsid w:val="00307F96"/>
    <w:rsid w:val="003141AE"/>
    <w:rsid w:val="00316EA0"/>
    <w:rsid w:val="0032008C"/>
    <w:rsid w:val="003223E1"/>
    <w:rsid w:val="00325FD2"/>
    <w:rsid w:val="0035016B"/>
    <w:rsid w:val="0035258D"/>
    <w:rsid w:val="003572C3"/>
    <w:rsid w:val="00367D81"/>
    <w:rsid w:val="003916CE"/>
    <w:rsid w:val="00393D11"/>
    <w:rsid w:val="00397263"/>
    <w:rsid w:val="003A7E27"/>
    <w:rsid w:val="003B4579"/>
    <w:rsid w:val="003B71DB"/>
    <w:rsid w:val="003E5630"/>
    <w:rsid w:val="003F5A29"/>
    <w:rsid w:val="003F6774"/>
    <w:rsid w:val="00401A82"/>
    <w:rsid w:val="00403BEC"/>
    <w:rsid w:val="004058DD"/>
    <w:rsid w:val="00406092"/>
    <w:rsid w:val="00407D36"/>
    <w:rsid w:val="004122E3"/>
    <w:rsid w:val="00412DB0"/>
    <w:rsid w:val="004173F1"/>
    <w:rsid w:val="00432D00"/>
    <w:rsid w:val="00436E6B"/>
    <w:rsid w:val="00437EC8"/>
    <w:rsid w:val="00441A96"/>
    <w:rsid w:val="0044566C"/>
    <w:rsid w:val="0045166F"/>
    <w:rsid w:val="00454821"/>
    <w:rsid w:val="00454830"/>
    <w:rsid w:val="00455D2C"/>
    <w:rsid w:val="0046037D"/>
    <w:rsid w:val="0046202E"/>
    <w:rsid w:val="00464697"/>
    <w:rsid w:val="0047096E"/>
    <w:rsid w:val="00473084"/>
    <w:rsid w:val="00491063"/>
    <w:rsid w:val="0049583F"/>
    <w:rsid w:val="004A0B87"/>
    <w:rsid w:val="004B35FC"/>
    <w:rsid w:val="004D2EF7"/>
    <w:rsid w:val="004F1B6C"/>
    <w:rsid w:val="004F23D6"/>
    <w:rsid w:val="004F76C4"/>
    <w:rsid w:val="00517577"/>
    <w:rsid w:val="00517834"/>
    <w:rsid w:val="00524FB5"/>
    <w:rsid w:val="005308F9"/>
    <w:rsid w:val="00531C33"/>
    <w:rsid w:val="0056151B"/>
    <w:rsid w:val="00561E6F"/>
    <w:rsid w:val="00564CD6"/>
    <w:rsid w:val="005660FA"/>
    <w:rsid w:val="005718A2"/>
    <w:rsid w:val="0059090A"/>
    <w:rsid w:val="00592A27"/>
    <w:rsid w:val="00596CA0"/>
    <w:rsid w:val="005B4A65"/>
    <w:rsid w:val="005B6B79"/>
    <w:rsid w:val="005B7569"/>
    <w:rsid w:val="005C46BA"/>
    <w:rsid w:val="005C6D8E"/>
    <w:rsid w:val="005D134B"/>
    <w:rsid w:val="005F4A93"/>
    <w:rsid w:val="00603D3B"/>
    <w:rsid w:val="0061200B"/>
    <w:rsid w:val="006123A5"/>
    <w:rsid w:val="006159DC"/>
    <w:rsid w:val="006228DE"/>
    <w:rsid w:val="006274A9"/>
    <w:rsid w:val="00630E82"/>
    <w:rsid w:val="006504A2"/>
    <w:rsid w:val="00667275"/>
    <w:rsid w:val="00672FAF"/>
    <w:rsid w:val="00675ADE"/>
    <w:rsid w:val="006768AC"/>
    <w:rsid w:val="00683BD5"/>
    <w:rsid w:val="006869AD"/>
    <w:rsid w:val="006A1D69"/>
    <w:rsid w:val="006A63B2"/>
    <w:rsid w:val="006C0DFE"/>
    <w:rsid w:val="006C31C0"/>
    <w:rsid w:val="006D093D"/>
    <w:rsid w:val="006D6CDE"/>
    <w:rsid w:val="006E492E"/>
    <w:rsid w:val="006F4E82"/>
    <w:rsid w:val="00701509"/>
    <w:rsid w:val="00701606"/>
    <w:rsid w:val="0070650C"/>
    <w:rsid w:val="0071261C"/>
    <w:rsid w:val="00745AAA"/>
    <w:rsid w:val="00750EE3"/>
    <w:rsid w:val="00752654"/>
    <w:rsid w:val="007553A2"/>
    <w:rsid w:val="00756D94"/>
    <w:rsid w:val="007576B9"/>
    <w:rsid w:val="00762525"/>
    <w:rsid w:val="00764A70"/>
    <w:rsid w:val="00774CD0"/>
    <w:rsid w:val="00785411"/>
    <w:rsid w:val="00790D86"/>
    <w:rsid w:val="007923AF"/>
    <w:rsid w:val="00795A7B"/>
    <w:rsid w:val="007A12B9"/>
    <w:rsid w:val="007C2150"/>
    <w:rsid w:val="007C768A"/>
    <w:rsid w:val="007D0EC4"/>
    <w:rsid w:val="007D4AFD"/>
    <w:rsid w:val="007D7D0E"/>
    <w:rsid w:val="007E038C"/>
    <w:rsid w:val="007E1F4E"/>
    <w:rsid w:val="00800A0E"/>
    <w:rsid w:val="0081175E"/>
    <w:rsid w:val="0082462A"/>
    <w:rsid w:val="008259BA"/>
    <w:rsid w:val="00831C53"/>
    <w:rsid w:val="008326C3"/>
    <w:rsid w:val="0084288F"/>
    <w:rsid w:val="008750B3"/>
    <w:rsid w:val="0087542C"/>
    <w:rsid w:val="008764F3"/>
    <w:rsid w:val="00880620"/>
    <w:rsid w:val="008947E0"/>
    <w:rsid w:val="008A580B"/>
    <w:rsid w:val="008B7693"/>
    <w:rsid w:val="008C0BF0"/>
    <w:rsid w:val="008C6EFB"/>
    <w:rsid w:val="008D461B"/>
    <w:rsid w:val="008D4DF3"/>
    <w:rsid w:val="008E21B3"/>
    <w:rsid w:val="008E3533"/>
    <w:rsid w:val="008E48CE"/>
    <w:rsid w:val="008E4DC5"/>
    <w:rsid w:val="00905AD6"/>
    <w:rsid w:val="009141E7"/>
    <w:rsid w:val="00923F9D"/>
    <w:rsid w:val="00934AA3"/>
    <w:rsid w:val="009367C9"/>
    <w:rsid w:val="009402FD"/>
    <w:rsid w:val="009561A2"/>
    <w:rsid w:val="00963488"/>
    <w:rsid w:val="0096523C"/>
    <w:rsid w:val="0096569C"/>
    <w:rsid w:val="00972966"/>
    <w:rsid w:val="009820B6"/>
    <w:rsid w:val="0098309C"/>
    <w:rsid w:val="00983F81"/>
    <w:rsid w:val="00985063"/>
    <w:rsid w:val="009A6678"/>
    <w:rsid w:val="009B501F"/>
    <w:rsid w:val="009C2EF5"/>
    <w:rsid w:val="009C40C7"/>
    <w:rsid w:val="009C537C"/>
    <w:rsid w:val="009C599C"/>
    <w:rsid w:val="009C7530"/>
    <w:rsid w:val="009E3699"/>
    <w:rsid w:val="00A00E92"/>
    <w:rsid w:val="00A07F1D"/>
    <w:rsid w:val="00A14C71"/>
    <w:rsid w:val="00A154A5"/>
    <w:rsid w:val="00A1666B"/>
    <w:rsid w:val="00A1770F"/>
    <w:rsid w:val="00A17F74"/>
    <w:rsid w:val="00A27D09"/>
    <w:rsid w:val="00A329EC"/>
    <w:rsid w:val="00A34658"/>
    <w:rsid w:val="00A408C5"/>
    <w:rsid w:val="00A42394"/>
    <w:rsid w:val="00A43012"/>
    <w:rsid w:val="00A54264"/>
    <w:rsid w:val="00A56016"/>
    <w:rsid w:val="00A56178"/>
    <w:rsid w:val="00A628CA"/>
    <w:rsid w:val="00A702F0"/>
    <w:rsid w:val="00A878AF"/>
    <w:rsid w:val="00A906B0"/>
    <w:rsid w:val="00A91B76"/>
    <w:rsid w:val="00A9297F"/>
    <w:rsid w:val="00A93F06"/>
    <w:rsid w:val="00A949FB"/>
    <w:rsid w:val="00AA15AA"/>
    <w:rsid w:val="00AB7E4F"/>
    <w:rsid w:val="00AC3B57"/>
    <w:rsid w:val="00AC5C18"/>
    <w:rsid w:val="00AD04E9"/>
    <w:rsid w:val="00AD184E"/>
    <w:rsid w:val="00AD19F7"/>
    <w:rsid w:val="00AD24FA"/>
    <w:rsid w:val="00AE22C3"/>
    <w:rsid w:val="00AF70B9"/>
    <w:rsid w:val="00B13CE7"/>
    <w:rsid w:val="00B14615"/>
    <w:rsid w:val="00B159B6"/>
    <w:rsid w:val="00B32A72"/>
    <w:rsid w:val="00B36770"/>
    <w:rsid w:val="00B36DA5"/>
    <w:rsid w:val="00B43132"/>
    <w:rsid w:val="00B469AD"/>
    <w:rsid w:val="00B53A1D"/>
    <w:rsid w:val="00B611E1"/>
    <w:rsid w:val="00B6306B"/>
    <w:rsid w:val="00B65FD9"/>
    <w:rsid w:val="00B80C2C"/>
    <w:rsid w:val="00B8613F"/>
    <w:rsid w:val="00BA0490"/>
    <w:rsid w:val="00BB1E76"/>
    <w:rsid w:val="00BC3790"/>
    <w:rsid w:val="00BC4B60"/>
    <w:rsid w:val="00BD3A0E"/>
    <w:rsid w:val="00BE16FE"/>
    <w:rsid w:val="00BE1B43"/>
    <w:rsid w:val="00BE47B2"/>
    <w:rsid w:val="00BE482C"/>
    <w:rsid w:val="00BE6132"/>
    <w:rsid w:val="00C00AF4"/>
    <w:rsid w:val="00C051F2"/>
    <w:rsid w:val="00C24A50"/>
    <w:rsid w:val="00C30FB2"/>
    <w:rsid w:val="00C34F0E"/>
    <w:rsid w:val="00C367C8"/>
    <w:rsid w:val="00C40025"/>
    <w:rsid w:val="00C57CB5"/>
    <w:rsid w:val="00C70FB1"/>
    <w:rsid w:val="00CA1164"/>
    <w:rsid w:val="00CD0B27"/>
    <w:rsid w:val="00CD6A6C"/>
    <w:rsid w:val="00CF2D3B"/>
    <w:rsid w:val="00D01AAD"/>
    <w:rsid w:val="00D12072"/>
    <w:rsid w:val="00D152DC"/>
    <w:rsid w:val="00D153F5"/>
    <w:rsid w:val="00D211B5"/>
    <w:rsid w:val="00D31C4F"/>
    <w:rsid w:val="00D37DE9"/>
    <w:rsid w:val="00D52867"/>
    <w:rsid w:val="00D605CA"/>
    <w:rsid w:val="00D72504"/>
    <w:rsid w:val="00D76A53"/>
    <w:rsid w:val="00D80221"/>
    <w:rsid w:val="00D81483"/>
    <w:rsid w:val="00D867A7"/>
    <w:rsid w:val="00D94523"/>
    <w:rsid w:val="00DA5DBD"/>
    <w:rsid w:val="00DB794E"/>
    <w:rsid w:val="00DC0C13"/>
    <w:rsid w:val="00DD41D8"/>
    <w:rsid w:val="00DD6511"/>
    <w:rsid w:val="00DE5583"/>
    <w:rsid w:val="00DF6B72"/>
    <w:rsid w:val="00DF73DF"/>
    <w:rsid w:val="00E0152E"/>
    <w:rsid w:val="00E0774B"/>
    <w:rsid w:val="00E12B32"/>
    <w:rsid w:val="00E135EB"/>
    <w:rsid w:val="00E24861"/>
    <w:rsid w:val="00E3374F"/>
    <w:rsid w:val="00E34536"/>
    <w:rsid w:val="00E459DC"/>
    <w:rsid w:val="00E51E92"/>
    <w:rsid w:val="00E54197"/>
    <w:rsid w:val="00E613B4"/>
    <w:rsid w:val="00E66703"/>
    <w:rsid w:val="00E66EFF"/>
    <w:rsid w:val="00E720AA"/>
    <w:rsid w:val="00E7299B"/>
    <w:rsid w:val="00E81AF9"/>
    <w:rsid w:val="00E84F52"/>
    <w:rsid w:val="00E95D30"/>
    <w:rsid w:val="00E96201"/>
    <w:rsid w:val="00EA3C5D"/>
    <w:rsid w:val="00EB3B10"/>
    <w:rsid w:val="00ED4467"/>
    <w:rsid w:val="00ED44D4"/>
    <w:rsid w:val="00ED74B7"/>
    <w:rsid w:val="00EE40A0"/>
    <w:rsid w:val="00EE41C0"/>
    <w:rsid w:val="00EF06FC"/>
    <w:rsid w:val="00F02E60"/>
    <w:rsid w:val="00F144D2"/>
    <w:rsid w:val="00F14D42"/>
    <w:rsid w:val="00F21887"/>
    <w:rsid w:val="00F31FA6"/>
    <w:rsid w:val="00F35F5A"/>
    <w:rsid w:val="00F373A2"/>
    <w:rsid w:val="00F51294"/>
    <w:rsid w:val="00F6116B"/>
    <w:rsid w:val="00F77022"/>
    <w:rsid w:val="00F878E2"/>
    <w:rsid w:val="00F87C8F"/>
    <w:rsid w:val="00F94C38"/>
    <w:rsid w:val="00F96F67"/>
    <w:rsid w:val="00FA3043"/>
    <w:rsid w:val="00FC0470"/>
    <w:rsid w:val="00FC7FC7"/>
    <w:rsid w:val="00FD10B3"/>
    <w:rsid w:val="00FD6DB4"/>
    <w:rsid w:val="00FE22E1"/>
    <w:rsid w:val="00FE3CF6"/>
    <w:rsid w:val="00FF568E"/>
    <w:rsid w:val="050A41FE"/>
    <w:rsid w:val="06C947A0"/>
    <w:rsid w:val="07FA732C"/>
    <w:rsid w:val="1B2C412F"/>
    <w:rsid w:val="1CAB4C1C"/>
    <w:rsid w:val="23C97DD1"/>
    <w:rsid w:val="2E2D03B2"/>
    <w:rsid w:val="331C1F78"/>
    <w:rsid w:val="3579545F"/>
    <w:rsid w:val="3AFDE147"/>
    <w:rsid w:val="42085026"/>
    <w:rsid w:val="42845443"/>
    <w:rsid w:val="4B6A70A0"/>
    <w:rsid w:val="4B8E30CF"/>
    <w:rsid w:val="54CA4025"/>
    <w:rsid w:val="56634F89"/>
    <w:rsid w:val="59D17133"/>
    <w:rsid w:val="5EBE1C92"/>
    <w:rsid w:val="5FF05A27"/>
    <w:rsid w:val="64CA5476"/>
    <w:rsid w:val="689A10B1"/>
    <w:rsid w:val="69B77AE9"/>
    <w:rsid w:val="69D00DEB"/>
    <w:rsid w:val="6A423C69"/>
    <w:rsid w:val="6E460868"/>
    <w:rsid w:val="70A0627E"/>
    <w:rsid w:val="79421C1E"/>
    <w:rsid w:val="7AEF202F"/>
    <w:rsid w:val="7FF97087"/>
    <w:rsid w:val="7FFD7712"/>
    <w:rsid w:val="DFDF2324"/>
    <w:rsid w:val="F6F6B2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qFormat/>
    <w:uiPriority w:val="99"/>
    <w:rPr>
      <w:kern w:val="0"/>
    </w:r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  <w:rPr>
      <w:rFonts w:ascii="宋体" w:hAnsi="宋体"/>
      <w:kern w:val="0"/>
      <w:sz w:val="24"/>
      <w:szCs w:val="24"/>
    </w:rPr>
  </w:style>
  <w:style w:type="paragraph" w:styleId="4">
    <w:name w:val="Body Text Indent 2"/>
    <w:basedOn w:val="1"/>
    <w:link w:val="19"/>
    <w:qFormat/>
    <w:uiPriority w:val="99"/>
    <w:pPr>
      <w:spacing w:line="288" w:lineRule="auto"/>
      <w:ind w:firstLine="435"/>
    </w:pPr>
    <w:rPr>
      <w:rFonts w:ascii="Times New Roman" w:hAnsi="Times New Roman"/>
      <w:kern w:val="0"/>
    </w:rPr>
  </w:style>
  <w:style w:type="paragraph" w:styleId="5">
    <w:name w:val="Balloon Text"/>
    <w:basedOn w:val="1"/>
    <w:link w:val="20"/>
    <w:semiHidden/>
    <w:qFormat/>
    <w:uiPriority w:val="99"/>
    <w:rPr>
      <w:kern w:val="0"/>
      <w:sz w:val="2"/>
      <w:szCs w:val="20"/>
    </w:rPr>
  </w:style>
  <w:style w:type="paragraph" w:styleId="6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7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23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/>
      <w:kern w:val="0"/>
      <w:sz w:val="24"/>
      <w:szCs w:val="24"/>
    </w:rPr>
  </w:style>
  <w:style w:type="paragraph" w:styleId="9">
    <w:name w:val="annotation subject"/>
    <w:basedOn w:val="2"/>
    <w:next w:val="2"/>
    <w:link w:val="17"/>
    <w:semiHidden/>
    <w:qFormat/>
    <w:uiPriority w:val="99"/>
    <w:rPr>
      <w:b/>
      <w:bCs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locked/>
    <w:uiPriority w:val="0"/>
    <w:rPr>
      <w:b/>
    </w:rPr>
  </w:style>
  <w:style w:type="character" w:styleId="14">
    <w:name w:val="Emphasis"/>
    <w:basedOn w:val="12"/>
    <w:qFormat/>
    <w:uiPriority w:val="99"/>
    <w:rPr>
      <w:rFonts w:cs="Times New Roman"/>
      <w:color w:val="DD4B39"/>
    </w:rPr>
  </w:style>
  <w:style w:type="character" w:styleId="15">
    <w:name w:val="annotation reference"/>
    <w:basedOn w:val="12"/>
    <w:semiHidden/>
    <w:qFormat/>
    <w:uiPriority w:val="99"/>
    <w:rPr>
      <w:rFonts w:cs="Times New Roman"/>
      <w:sz w:val="21"/>
    </w:rPr>
  </w:style>
  <w:style w:type="character" w:customStyle="1" w:styleId="16">
    <w:name w:val="批注文字 Char"/>
    <w:basedOn w:val="12"/>
    <w:link w:val="2"/>
    <w:semiHidden/>
    <w:qFormat/>
    <w:locked/>
    <w:uiPriority w:val="99"/>
    <w:rPr>
      <w:rFonts w:cs="Times New Roman"/>
      <w:sz w:val="21"/>
    </w:rPr>
  </w:style>
  <w:style w:type="character" w:customStyle="1" w:styleId="17">
    <w:name w:val="批注主题 Char"/>
    <w:basedOn w:val="16"/>
    <w:link w:val="9"/>
    <w:semiHidden/>
    <w:qFormat/>
    <w:locked/>
    <w:uiPriority w:val="99"/>
    <w:rPr>
      <w:b/>
    </w:rPr>
  </w:style>
  <w:style w:type="character" w:customStyle="1" w:styleId="18">
    <w:name w:val="日期 Char"/>
    <w:basedOn w:val="12"/>
    <w:link w:val="3"/>
    <w:qFormat/>
    <w:locked/>
    <w:uiPriority w:val="99"/>
    <w:rPr>
      <w:rFonts w:ascii="宋体" w:hAnsi="宋体" w:eastAsia="宋体" w:cs="Times New Roman"/>
      <w:sz w:val="24"/>
    </w:rPr>
  </w:style>
  <w:style w:type="character" w:customStyle="1" w:styleId="19">
    <w:name w:val="正文文本缩进 2 Char"/>
    <w:basedOn w:val="12"/>
    <w:link w:val="4"/>
    <w:qFormat/>
    <w:locked/>
    <w:uiPriority w:val="99"/>
    <w:rPr>
      <w:rFonts w:ascii="Times New Roman" w:hAnsi="Times New Roman" w:eastAsia="宋体" w:cs="Times New Roman"/>
      <w:sz w:val="21"/>
    </w:rPr>
  </w:style>
  <w:style w:type="character" w:customStyle="1" w:styleId="20">
    <w:name w:val="批注框文本 Char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21">
    <w:name w:val="页脚 Char"/>
    <w:basedOn w:val="12"/>
    <w:link w:val="6"/>
    <w:qFormat/>
    <w:locked/>
    <w:uiPriority w:val="99"/>
    <w:rPr>
      <w:rFonts w:cs="Times New Roman"/>
      <w:sz w:val="18"/>
    </w:rPr>
  </w:style>
  <w:style w:type="character" w:customStyle="1" w:styleId="22">
    <w:name w:val="页眉 Char"/>
    <w:basedOn w:val="12"/>
    <w:link w:val="7"/>
    <w:qFormat/>
    <w:locked/>
    <w:uiPriority w:val="99"/>
    <w:rPr>
      <w:rFonts w:cs="Times New Roman"/>
      <w:sz w:val="18"/>
    </w:rPr>
  </w:style>
  <w:style w:type="character" w:customStyle="1" w:styleId="23">
    <w:name w:val="HTML 预设格式 Char"/>
    <w:basedOn w:val="12"/>
    <w:link w:val="8"/>
    <w:qFormat/>
    <w:locked/>
    <w:uiPriority w:val="99"/>
    <w:rPr>
      <w:rFonts w:ascii="宋体" w:eastAsia="宋体" w:cs="Times New Roman"/>
      <w:sz w:val="24"/>
    </w:rPr>
  </w:style>
  <w:style w:type="paragraph" w:customStyle="1" w:styleId="24">
    <w:name w:val="列出段落1"/>
    <w:basedOn w:val="1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paragraph" w:customStyle="1" w:styleId="26">
    <w:name w:val="前言、引言标题"/>
    <w:next w:val="1"/>
    <w:qFormat/>
    <w:uiPriority w:val="99"/>
    <w:pPr>
      <w:shd w:val="clear" w:color="FFFFFF" w:fill="FFFFFF"/>
      <w:tabs>
        <w:tab w:val="left" w:pos="360"/>
      </w:tabs>
      <w:spacing w:before="640" w:after="560" w:line="560" w:lineRule="exact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7">
    <w:name w:val="段"/>
    <w:link w:val="28"/>
    <w:qFormat/>
    <w:uiPriority w:val="99"/>
    <w:pPr>
      <w:autoSpaceDE w:val="0"/>
      <w:autoSpaceDN w:val="0"/>
      <w:spacing w:line="560" w:lineRule="exact"/>
      <w:ind w:firstLine="200" w:firstLineChars="200"/>
      <w:jc w:val="both"/>
    </w:pPr>
    <w:rPr>
      <w:rFonts w:ascii="宋体" w:hAnsi="Times New Roman" w:eastAsia="宋体" w:cs="Times New Roman"/>
      <w:sz w:val="22"/>
      <w:lang w:val="en-US" w:eastAsia="zh-CN" w:bidi="ar-SA"/>
    </w:rPr>
  </w:style>
  <w:style w:type="character" w:customStyle="1" w:styleId="28">
    <w:name w:val="段 Char"/>
    <w:link w:val="27"/>
    <w:qFormat/>
    <w:locked/>
    <w:uiPriority w:val="99"/>
    <w:rPr>
      <w:rFonts w:ascii="宋体" w:hAnsi="Times New Roman"/>
      <w:sz w:val="22"/>
      <w:lang w:bidi="ar-SA"/>
    </w:rPr>
  </w:style>
  <w:style w:type="paragraph" w:customStyle="1" w:styleId="29">
    <w:name w:val="1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30">
    <w:name w:val="Char1"/>
    <w:basedOn w:val="1"/>
    <w:qFormat/>
    <w:uiPriority w:val="99"/>
    <w:pPr>
      <w:tabs>
        <w:tab w:val="right" w:pos="8494"/>
      </w:tabs>
      <w:spacing w:after="160" w:line="240" w:lineRule="exac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31">
    <w:name w:val="Revision1"/>
    <w:hidden/>
    <w:semiHidden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32">
    <w:name w:val="style7"/>
    <w:basedOn w:val="12"/>
    <w:qFormat/>
    <w:uiPriority w:val="0"/>
  </w:style>
  <w:style w:type="paragraph" w:customStyle="1" w:styleId="33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文献分类号"/>
    <w:qFormat/>
    <w:uiPriority w:val="0"/>
    <w:pPr>
      <w:framePr w:w="9639" w:wrap="around" w:vAnchor="page" w:hAnchor="page" w:x="1373" w:y="568"/>
      <w:widowControl w:val="0"/>
      <w:ind w:left="-462" w:leftChars="-220" w:firstLine="462" w:firstLineChars="220"/>
      <w:textAlignment w:val="center"/>
    </w:pPr>
    <w:rPr>
      <w:rFonts w:hint="eastAsia"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35">
    <w:name w:val="标准称谓3"/>
    <w:next w:val="1"/>
    <w:qFormat/>
    <w:uiPriority w:val="0"/>
    <w:pPr>
      <w:framePr w:w="9639" w:h="624" w:hRule="exact" w:hSpace="181" w:vSpace="181" w:wrap="around" w:vAnchor="page" w:hAnchor="page" w:x="1305" w:y="2269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黑体" w:hAnsi="Times New Roman" w:eastAsia="黑体" w:cs="Times New Roman"/>
      <w:sz w:val="52"/>
      <w:szCs w:val="52"/>
      <w:lang w:val="en-US" w:eastAsia="zh-CN" w:bidi="ar-SA"/>
    </w:rPr>
  </w:style>
  <w:style w:type="paragraph" w:customStyle="1" w:styleId="36">
    <w:name w:val="封面标准号2"/>
    <w:qFormat/>
    <w:uiPriority w:val="0"/>
    <w:pPr>
      <w:framePr w:w="9355" w:h="624" w:hRule="exact" w:hSpace="181" w:vSpace="181" w:wrap="around" w:vAnchor="page" w:hAnchor="page" w:x="1419" w:y="3284"/>
      <w:spacing w:line="280" w:lineRule="exact"/>
      <w:jc w:val="righ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7">
    <w:name w:val="封面标准顶部线"/>
    <w:qFormat/>
    <w:uiPriority w:val="0"/>
    <w:pPr>
      <w:framePr w:w="9673" w:hSpace="181" w:wrap="around" w:vAnchor="page" w:hAnchor="page" w:x="1390" w:y="4242"/>
      <w:spacing w:line="0" w:lineRule="atLeast"/>
    </w:pPr>
    <w:rPr>
      <w:rFonts w:hint="eastAsia" w:ascii="宋体" w:hAnsi="Times New Roman" w:eastAsia="宋体" w:cs="Times New Roman"/>
      <w:sz w:val="21"/>
      <w:lang w:val="en-US" w:eastAsia="zh-CN" w:bidi="ar-SA"/>
    </w:rPr>
  </w:style>
  <w:style w:type="paragraph" w:customStyle="1" w:styleId="38">
    <w:name w:val="封面日期"/>
    <w:qFormat/>
    <w:uiPriority w:val="0"/>
    <w:pPr>
      <w:framePr w:w="9673" w:vSpace="181" w:wrap="around" w:vAnchor="page" w:hAnchor="page" w:x="1419" w:y="14176" w:anchorLock="1"/>
      <w:spacing w:line="360" w:lineRule="exact"/>
    </w:pPr>
    <w:rPr>
      <w:rFonts w:hint="eastAsia" w:ascii="黑体" w:hAnsi="Times New Roman" w:eastAsia="黑体" w:cs="Times New Roman"/>
      <w:sz w:val="28"/>
      <w:lang w:val="en-US" w:eastAsia="zh-CN" w:bidi="ar-SA"/>
    </w:rPr>
  </w:style>
  <w:style w:type="paragraph" w:customStyle="1" w:styleId="39">
    <w:name w:val="二级条标题"/>
    <w:basedOn w:val="1"/>
    <w:next w:val="27"/>
    <w:qFormat/>
    <w:uiPriority w:val="0"/>
    <w:pPr>
      <w:spacing w:before="50" w:beforeLines="50" w:after="50" w:afterLines="50" w:line="240" w:lineRule="auto"/>
      <w:ind w:left="464"/>
      <w:outlineLvl w:val="3"/>
    </w:pPr>
    <w:rPr>
      <w:rFonts w:ascii="黑体" w:eastAsia="黑体" w:cs="Times New Roman"/>
      <w:kern w:val="0"/>
      <w:lang w:bidi="ar-SA"/>
    </w:rPr>
  </w:style>
  <w:style w:type="paragraph" w:customStyle="1" w:styleId="40">
    <w:name w:val="附录标识"/>
    <w:basedOn w:val="1"/>
    <w:next w:val="27"/>
    <w:qFormat/>
    <w:uiPriority w:val="0"/>
    <w:pPr>
      <w:keepNext/>
      <w:numPr>
        <w:ilvl w:val="0"/>
        <w:numId w:val="1"/>
      </w:numPr>
      <w:shd w:val="clear" w:color="FFFFFF" w:fill="FFFFFF"/>
      <w:tabs>
        <w:tab w:val="left" w:pos="360"/>
        <w:tab w:val="left" w:pos="6405"/>
      </w:tabs>
      <w:spacing w:before="640" w:after="280" w:line="240" w:lineRule="auto"/>
      <w:jc w:val="center"/>
      <w:outlineLvl w:val="0"/>
    </w:pPr>
    <w:rPr>
      <w:rFonts w:ascii="黑体" w:eastAsia="黑体"/>
      <w:kern w:val="0"/>
      <w:szCs w:val="20"/>
    </w:rPr>
  </w:style>
  <w:style w:type="character" w:customStyle="1" w:styleId="41">
    <w:name w:val="style71"/>
    <w:basedOn w:val="12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5431</Words>
  <Characters>6265</Characters>
  <Lines>62</Lines>
  <Paragraphs>17</Paragraphs>
  <TotalTime>76</TotalTime>
  <ScaleCrop>false</ScaleCrop>
  <LinksUpToDate>false</LinksUpToDate>
  <CharactersWithSpaces>6573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2017-12-18T04:44:00Z</dcterms:created>
  <dc:creator>dell</dc:creator>
  <cp:lastModifiedBy>房正</cp:lastModifiedBy>
  <cp:lastPrinted>2026-04-07T14:43:00Z</cp:lastPrinted>
  <dcterms:modified xsi:type="dcterms:W3CDTF">2026-04-15T03:13:50Z</dcterms:modified>
  <dc:title>前  言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eyJoZGlkIjoiMGUyOGZlMzdlZWEyMGFlYzc0ZWE1MGJlZjA4NmY3NTMiLCJ1c2VySWQiOiIyNzM3NDc2MDMifQ==</vt:lpwstr>
  </property>
  <property fmtid="{D5CDD505-2E9C-101B-9397-08002B2CF9AE}" pid="4" name="ICV">
    <vt:lpwstr>E830E76C0D954BF5B2CDA83DE1DBF47E_13</vt:lpwstr>
  </property>
</Properties>
</file>