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7"/>
      </w:tblGrid>
      <w:tr w14:paraId="7A22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  <w:noWrap w:val="0"/>
            <w:vAlign w:val="top"/>
          </w:tcPr>
          <w:p w14:paraId="6E742275">
            <w:pPr>
              <w:pStyle w:val="33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ICS</w:t>
            </w:r>
          </w:p>
        </w:tc>
        <w:tc>
          <w:tcPr>
            <w:tcW w:w="9107" w:type="dxa"/>
            <w:noWrap w:val="0"/>
            <w:vAlign w:val="top"/>
          </w:tcPr>
          <w:p w14:paraId="705DE5AD">
            <w:pPr>
              <w:pStyle w:val="33"/>
              <w:rPr>
                <w:rFonts w:hint="default" w:ascii="Times New Roman"/>
              </w:rPr>
            </w:pPr>
          </w:p>
        </w:tc>
      </w:tr>
      <w:tr w14:paraId="5509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  <w:noWrap w:val="0"/>
            <w:vAlign w:val="top"/>
          </w:tcPr>
          <w:p w14:paraId="4A825A65">
            <w:pPr>
              <w:pStyle w:val="33"/>
              <w:rPr>
                <w:rFonts w:hint="default" w:ascii="Times New Roman"/>
              </w:rPr>
            </w:pPr>
            <w:r>
              <w:rPr>
                <w:rFonts w:hint="default" w:ascii="Times New Roman"/>
              </w:rPr>
              <w:t>CCS</w:t>
            </w:r>
          </w:p>
        </w:tc>
        <w:tc>
          <w:tcPr>
            <w:tcW w:w="9107" w:type="dxa"/>
            <w:noWrap w:val="0"/>
            <w:vAlign w:val="top"/>
          </w:tcPr>
          <w:tbl>
            <w:tblPr>
              <w:tblStyle w:val="10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0A4327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noWrap w:val="0"/>
                  <w:vAlign w:val="center"/>
                </w:tcPr>
                <w:p w14:paraId="4AE4FA8B">
                  <w:pPr>
                    <w:pStyle w:val="33"/>
                    <w:framePr w:wrap="around"/>
                    <w:ind w:left="0" w:leftChars="0" w:firstLine="2747"/>
                    <w:jc w:val="center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hAnsi="黑体" w:cs="楷体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319A82B9">
            <w:pPr>
              <w:pStyle w:val="33"/>
              <w:rPr>
                <w:rFonts w:hint="default" w:ascii="Times New Roman"/>
              </w:rPr>
            </w:pPr>
          </w:p>
        </w:tc>
      </w:tr>
    </w:tbl>
    <w:p w14:paraId="7B270D3B">
      <w:pPr>
        <w:pStyle w:val="35"/>
        <w:framePr w:wrap="around" w:x="1470" w:y="3511"/>
        <w:rPr>
          <w:rFonts w:hint="default" w:ascii="Times New Roman" w:eastAsia="黑体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</w:t>
      </w:r>
      <w:r>
        <w:rPr>
          <w:rFonts w:hint="default" w:ascii="Times New Roman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XXXX</w:t>
      </w:r>
      <w:r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hint="default" w:ascii="Times New Roman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0671A191">
      <w:pPr>
        <w:pStyle w:val="35"/>
        <w:framePr w:wrap="around" w:x="1470" w:y="3511"/>
        <w:rPr>
          <w:rFonts w:hint="default" w:asci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0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1DD0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  <w:noWrap w:val="0"/>
            <w:vAlign w:val="top"/>
          </w:tcPr>
          <w:p w14:paraId="780A436D">
            <w:pPr>
              <w:pStyle w:val="36"/>
              <w:rPr>
                <w:rFonts w:hint="default" w:ascii="Times New Roman"/>
                <w:sz w:val="10"/>
              </w:rPr>
            </w:pPr>
          </w:p>
        </w:tc>
      </w:tr>
    </w:tbl>
    <w:p w14:paraId="201E44D6">
      <w:pPr>
        <w:pStyle w:val="24"/>
        <w:spacing w:before="156" w:beforeLines="50" w:after="156" w:afterLines="50" w:line="360" w:lineRule="auto"/>
        <w:ind w:left="357" w:firstLine="0" w:firstLineChars="0"/>
        <w:contextualSpacing/>
        <w:jc w:val="both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577215</wp:posOffset>
                </wp:positionV>
                <wp:extent cx="6014720" cy="571500"/>
                <wp:effectExtent l="4445" t="4445" r="15875" b="1841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5510" y="1607185"/>
                          <a:ext cx="60147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4D1696">
                            <w:pPr>
                              <w:jc w:val="distribute"/>
                              <w:rPr>
                                <w:rFonts w:hint="eastAsia" w:ascii="黑体" w:hAnsi="黑体" w:eastAsia="黑体" w:cs="黑体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8"/>
                                <w:szCs w:val="56"/>
                                <w:lang w:val="en-US" w:eastAsia="zh-CN"/>
                              </w:rPr>
                              <w:t>中国国绿色食品协会团体标准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9.5pt;margin-top:45.45pt;height:45pt;width:473.6pt;z-index:251659264;mso-width-relative:page;mso-height-relative:page;" fillcolor="#FFFFFF" filled="t" stroked="t" coordsize="21600,21600" o:gfxdata="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cEvd1QAAAAkBAAAPAAAAAAAAAAEAIAAAACIAAABkcnMvZG93bnJldi54bWxQSwECFAAUAAAACACH&#10;TuJAvmstRicCAABmBAAADgAAAAAAAAABACAAAAAk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14D1696">
                      <w:pPr>
                        <w:jc w:val="distribute"/>
                        <w:rPr>
                          <w:rFonts w:hint="eastAsia" w:ascii="黑体" w:hAnsi="黑体" w:eastAsia="黑体" w:cs="黑体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8"/>
                          <w:szCs w:val="56"/>
                          <w:lang w:val="en-US" w:eastAsia="zh-CN"/>
                        </w:rPr>
                        <w:t>中国国绿色食品协会团体标准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54A47AE8">
      <w:pPr>
        <w:pStyle w:val="24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521E1A3D">
      <w:pPr>
        <w:pStyle w:val="24"/>
        <w:spacing w:before="156" w:beforeLines="50" w:after="156" w:afterLines="50" w:line="360" w:lineRule="auto"/>
        <w:ind w:left="357" w:firstLine="0" w:firstLineChars="0"/>
        <w:contextualSpacing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48"/>
          <w:szCs w:val="48"/>
        </w:rPr>
        <w:t>绿色食品</w:t>
      </w:r>
      <w:r>
        <w:rPr>
          <w:rFonts w:hint="default" w:ascii="Times New Roman" w:hAnsi="Times New Roman" w:eastAsia="黑体" w:cs="Times New Roman"/>
          <w:sz w:val="48"/>
          <w:szCs w:val="48"/>
          <w:lang w:val="en-US" w:eastAsia="zh-CN"/>
        </w:rPr>
        <w:t xml:space="preserve"> 西南地区</w:t>
      </w:r>
      <w:r>
        <w:rPr>
          <w:rFonts w:hint="default" w:ascii="Times New Roman" w:hAnsi="Times New Roman" w:eastAsia="黑体" w:cs="Times New Roman"/>
          <w:sz w:val="48"/>
          <w:szCs w:val="48"/>
        </w:rPr>
        <w:t>红茶生产操作规程</w:t>
      </w:r>
    </w:p>
    <w:p w14:paraId="3BD3860D">
      <w:pPr>
        <w:pStyle w:val="7"/>
        <w:keepNext w:val="0"/>
        <w:keepLines w:val="0"/>
        <w:widowControl/>
        <w:suppressLineNumbers w:val="0"/>
        <w:spacing w:before="192" w:beforeAutospacing="0" w:after="0" w:afterAutospacing="0"/>
        <w:ind w:left="0" w:right="0"/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Style w:val="12"/>
          <w:rFonts w:hint="default" w:ascii="Times New Roman" w:hAnsi="Times New Roman" w:eastAsia="var(--dsw-font-markdown-base)" w:cs="Times New Roman"/>
          <w:b w:val="0"/>
          <w:bCs w:val="0"/>
        </w:rPr>
        <w:t>Code of Practice for Green Food Black Tea Production in Southwest Region</w:t>
      </w:r>
    </w:p>
    <w:p w14:paraId="49581E25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88543E5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E1D3DD5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征求意见稿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）</w:t>
      </w:r>
    </w:p>
    <w:p w14:paraId="798E7CBA">
      <w:pPr>
        <w:pStyle w:val="24"/>
        <w:spacing w:before="156" w:beforeLines="50" w:after="156" w:afterLines="50" w:line="400" w:lineRule="atLeast"/>
        <w:ind w:left="0" w:leftChars="0" w:firstLine="0" w:firstLineChars="0"/>
        <w:contextualSpacing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715E2A9A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前    言</w:t>
      </w:r>
    </w:p>
    <w:p w14:paraId="40908174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hint="default" w:ascii="Times New Roman" w:hAnsi="Times New Roman" w:cs="Times New Roman"/>
        </w:rPr>
      </w:pPr>
    </w:p>
    <w:p w14:paraId="7236878B">
      <w:pPr>
        <w:pStyle w:val="24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本文件按照 GB/T 1.1-2020《标准化工作导则  第1部分：标准化文件的结构和起草规则》的规则起草。</w:t>
      </w:r>
    </w:p>
    <w:p w14:paraId="34ECB4E0">
      <w:pPr>
        <w:pStyle w:val="24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请注意本文件的某些内容可能涉及专利，本文件的发布机构不承担识别专利的责任。</w:t>
      </w:r>
    </w:p>
    <w:p w14:paraId="4B62D07A">
      <w:pPr>
        <w:pStyle w:val="24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本文件由中国绿色食品发展中心提出。</w:t>
      </w:r>
    </w:p>
    <w:p w14:paraId="254DAF89">
      <w:pPr>
        <w:pStyle w:val="24"/>
        <w:spacing w:beforeLines="50" w:afterLines="50" w:line="400" w:lineRule="atLeast"/>
        <w:ind w:firstLineChars="200"/>
        <w:contextualSpacing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本文件由中国绿色食品协会归口。</w:t>
      </w:r>
    </w:p>
    <w:p w14:paraId="353EA06E">
      <w:pPr>
        <w:pStyle w:val="24"/>
        <w:spacing w:before="156" w:beforeLines="50" w:after="156" w:afterLines="50" w:line="400" w:lineRule="atLeast"/>
        <w:contextualSpacing/>
        <w:jc w:val="lef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</w:rPr>
        <w:t>本</w:t>
      </w:r>
      <w:r>
        <w:rPr>
          <w:rFonts w:hint="default" w:ascii="Times New Roman" w:hAnsi="Times New Roman" w:eastAsia="宋体" w:cs="Times New Roman"/>
          <w:lang w:eastAsia="zh-CN"/>
        </w:rPr>
        <w:t>文件</w:t>
      </w:r>
      <w:r>
        <w:rPr>
          <w:rFonts w:hint="default" w:ascii="Times New Roman" w:hAnsi="Times New Roman" w:eastAsia="宋体" w:cs="Times New Roman"/>
        </w:rPr>
        <w:t>起草单位：</w:t>
      </w:r>
      <w:r>
        <w:rPr>
          <w:rFonts w:hint="eastAsia" w:ascii="Times New Roman" w:hAnsi="Times New Roman" w:eastAsia="宋体" w:cs="Times New Roman"/>
          <w:lang w:val="en-US" w:eastAsia="zh-CN"/>
        </w:rPr>
        <w:t>*</w:t>
      </w:r>
    </w:p>
    <w:p w14:paraId="47582044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本</w:t>
      </w:r>
      <w:r>
        <w:rPr>
          <w:rFonts w:hint="default" w:ascii="Times New Roman" w:hAnsi="Times New Roman" w:cs="Times New Roman"/>
          <w:lang w:eastAsia="zh-CN"/>
        </w:rPr>
        <w:t>文件</w:t>
      </w:r>
      <w:r>
        <w:rPr>
          <w:rFonts w:hint="default" w:ascii="Times New Roman" w:hAnsi="Times New Roman" w:cs="Times New Roman"/>
        </w:rPr>
        <w:t>主要起草人：</w:t>
      </w:r>
      <w:r>
        <w:rPr>
          <w:rFonts w:hint="eastAsia" w:ascii="Times New Roman" w:hAnsi="Times New Roman" w:cs="Times New Roman"/>
          <w:lang w:val="en-US" w:eastAsia="zh-CN"/>
        </w:rPr>
        <w:t>*</w:t>
      </w:r>
      <w:bookmarkStart w:id="16" w:name="_GoBack"/>
      <w:bookmarkEnd w:id="16"/>
    </w:p>
    <w:p w14:paraId="47DE37B7">
      <w:pPr>
        <w:spacing w:line="400" w:lineRule="exact"/>
        <w:ind w:left="420"/>
        <w:rPr>
          <w:rFonts w:ascii="Times New Roman" w:hAnsi="Times New Roman" w:cs="Times New Roman"/>
        </w:rPr>
      </w:pPr>
    </w:p>
    <w:p w14:paraId="78A1A899">
      <w:pPr>
        <w:pStyle w:val="24"/>
        <w:spacing w:before="156" w:beforeLines="50" w:after="156" w:afterLines="50" w:line="400" w:lineRule="atLeast"/>
        <w:ind w:left="357" w:firstLine="0" w:firstLineChars="0"/>
        <w:contextualSpacing/>
        <w:jc w:val="center"/>
        <w:rPr>
          <w:rFonts w:hint="default" w:ascii="Times New Roman" w:hAnsi="Times New Roman" w:cs="Times New Roman"/>
        </w:rPr>
      </w:pPr>
    </w:p>
    <w:p w14:paraId="6C684D91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3AEC5DC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AD8AEF6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D0238B5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7622644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37162E7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3C44AA2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336DB24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0821890E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3D672C0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676FA33">
      <w:pPr>
        <w:pStyle w:val="24"/>
        <w:spacing w:before="156" w:beforeLines="50" w:after="156" w:afterLines="50" w:line="400" w:lineRule="atLeast"/>
        <w:ind w:firstLine="560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C1B95EF">
      <w:pPr>
        <w:pStyle w:val="24"/>
        <w:spacing w:before="156" w:beforeLines="50" w:after="156" w:afterLines="50" w:line="400" w:lineRule="atLeast"/>
        <w:ind w:firstLine="0" w:firstLineChars="0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2D4F808">
      <w:pPr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442082CD">
      <w:pPr>
        <w:pStyle w:val="8"/>
        <w:tabs>
          <w:tab w:val="left" w:pos="930"/>
          <w:tab w:val="center" w:pos="4507"/>
        </w:tabs>
        <w:rPr>
          <w:rFonts w:hint="default" w:ascii="Times New Roman" w:hAnsi="Times New Roman" w:eastAsia="黑体" w:cs="Times New Roman"/>
          <w:bCs w:val="0"/>
          <w:sz w:val="32"/>
        </w:rPr>
      </w:pPr>
      <w:bookmarkStart w:id="0" w:name="_Toc488676529"/>
      <w:r>
        <w:rPr>
          <w:rFonts w:hint="default" w:ascii="Times New Roman" w:hAnsi="Times New Roman" w:eastAsia="黑体" w:cs="Times New Roman"/>
          <w:bCs w:val="0"/>
          <w:sz w:val="32"/>
        </w:rPr>
        <w:t>绿色食品</w:t>
      </w:r>
      <w:r>
        <w:rPr>
          <w:rFonts w:hint="default" w:ascii="Times New Roman" w:hAnsi="Times New Roman" w:eastAsia="黑体" w:cs="Times New Roman"/>
          <w:bCs w:val="0"/>
          <w:sz w:val="32"/>
          <w:lang w:val="en-US" w:eastAsia="zh-CN"/>
        </w:rPr>
        <w:t xml:space="preserve"> 西南地区</w:t>
      </w:r>
      <w:r>
        <w:rPr>
          <w:rFonts w:hint="default" w:ascii="Times New Roman" w:hAnsi="Times New Roman" w:eastAsia="黑体" w:cs="Times New Roman"/>
          <w:bCs w:val="0"/>
          <w:sz w:val="32"/>
        </w:rPr>
        <w:t>红茶生产技术规程</w:t>
      </w:r>
      <w:bookmarkEnd w:id="0"/>
    </w:p>
    <w:p w14:paraId="38AA44C8">
      <w:pPr>
        <w:ind w:firstLine="600" w:firstLineChars="200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</w:p>
    <w:p w14:paraId="65ECB9A5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 xml:space="preserve">1 范围 </w:t>
      </w:r>
    </w:p>
    <w:p w14:paraId="04013A01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本规程规定了西南地区绿色食品红茶的产地环境质量、品种选择、整地和种植、灌溉、施肥、病虫草害防治、茶园修剪及耕锄、封园、生产废弃物处理、鲜叶采摘和装运、产品加工、茶叶包装、</w:t>
      </w:r>
      <w:r>
        <w:rPr>
          <w:rFonts w:hint="default" w:ascii="Times New Roman" w:hAnsi="Times New Roman" w:cs="Times New Roman"/>
          <w:szCs w:val="21"/>
          <w:lang w:eastAsia="zh-CN"/>
        </w:rPr>
        <w:t>储</w:t>
      </w:r>
      <w:r>
        <w:rPr>
          <w:rFonts w:hint="default" w:ascii="Times New Roman" w:hAnsi="Times New Roman" w:cs="Times New Roman"/>
          <w:szCs w:val="21"/>
        </w:rPr>
        <w:t xml:space="preserve">藏运输和档案记录。 </w:t>
      </w:r>
    </w:p>
    <w:p w14:paraId="1B856C83">
      <w:pPr>
        <w:pStyle w:val="24"/>
        <w:spacing w:before="156" w:beforeLines="50" w:after="156" w:afterLines="50" w:line="40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本规程适用于四川、贵州、云南等西南地区绿色食品红茶的生产。</w:t>
      </w:r>
    </w:p>
    <w:p w14:paraId="7F9A0ACB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2 规范性引用文件</w:t>
      </w:r>
    </w:p>
    <w:p w14:paraId="7C2583E6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下列文件中的条款通过本规范的引用而成为本规范的条款。凡是注日期的引用文件，其随后所有的修改单（不包括勘误的内容）或修订版均不适用于本规范，凡是不注日期的引用文件，其最新版本适用于本标准。 </w:t>
      </w:r>
    </w:p>
    <w:p w14:paraId="31C42EBD">
      <w:pPr>
        <w:pStyle w:val="24"/>
        <w:spacing w:line="380" w:lineRule="exact"/>
        <w:contextualSpacing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GB 2763 食品中农药最大残留限量</w:t>
      </w:r>
    </w:p>
    <w:p w14:paraId="586AFEA0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GB 7718 预包装食品标签通则</w:t>
      </w:r>
    </w:p>
    <w:p w14:paraId="5FC332C1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GB 11767 茶树种苗</w:t>
      </w:r>
    </w:p>
    <w:p w14:paraId="5A3917F8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GB14881 食品生产通用卫生规范</w:t>
      </w:r>
    </w:p>
    <w:p w14:paraId="2F69A44F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GB/T 32744 茶叶加工良好规范</w:t>
      </w:r>
    </w:p>
    <w:p w14:paraId="247742BA">
      <w:pPr>
        <w:pStyle w:val="24"/>
        <w:spacing w:line="380" w:lineRule="exact"/>
        <w:contextualSpacing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t>NY/T 288  绿色食品  茶叶</w:t>
      </w:r>
    </w:p>
    <w:p w14:paraId="12E9B7F2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NY/T 391 绿色食品 产地环境质量</w:t>
      </w:r>
    </w:p>
    <w:p w14:paraId="415604C2">
      <w:pPr>
        <w:pStyle w:val="24"/>
        <w:spacing w:line="380" w:lineRule="exact"/>
        <w:contextualSpacing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NY/T 39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 绿色食品 </w:t>
      </w:r>
      <w:r>
        <w:rPr>
          <w:rFonts w:hint="default" w:ascii="Times New Roman" w:hAnsi="Times New Roman" w:cs="Times New Roman"/>
          <w:lang w:eastAsia="zh-CN"/>
        </w:rPr>
        <w:t>食品添加剂使用准则</w:t>
      </w:r>
    </w:p>
    <w:p w14:paraId="740D9149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NY/T 393 绿色食品 农药使用准则</w:t>
      </w:r>
    </w:p>
    <w:p w14:paraId="1D00F215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NY/T 394 绿色食品 肥料使用准则</w:t>
      </w:r>
    </w:p>
    <w:p w14:paraId="07B2959D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NY/T 658 绿色食品 包装通用准则</w:t>
      </w:r>
    </w:p>
    <w:p w14:paraId="6DA36254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NY/T 853 茶叶产地环境技术条件</w:t>
      </w:r>
    </w:p>
    <w:p w14:paraId="7081134F">
      <w:pPr>
        <w:pStyle w:val="24"/>
        <w:spacing w:line="380" w:lineRule="exact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NY/T 1056 绿色食品 </w:t>
      </w:r>
      <w:r>
        <w:rPr>
          <w:rFonts w:hint="default" w:ascii="Times New Roman" w:hAnsi="Times New Roman" w:cs="Times New Roman"/>
          <w:lang w:eastAsia="zh-CN"/>
        </w:rPr>
        <w:t>储</w:t>
      </w:r>
      <w:r>
        <w:rPr>
          <w:rFonts w:hint="default" w:ascii="Times New Roman" w:hAnsi="Times New Roman" w:cs="Times New Roman"/>
        </w:rPr>
        <w:t>藏运输准则</w:t>
      </w:r>
    </w:p>
    <w:p w14:paraId="4DA6E01D">
      <w:pPr>
        <w:pStyle w:val="24"/>
        <w:spacing w:line="380" w:lineRule="exact"/>
        <w:contextualSpacing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NY/T </w:t>
      </w:r>
      <w:r>
        <w:rPr>
          <w:rFonts w:hint="default" w:ascii="Times New Roman" w:hAnsi="Times New Roman" w:cs="Times New Roman"/>
          <w:lang w:val="en-US" w:eastAsia="zh-CN"/>
        </w:rPr>
        <w:t>5197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有机茶生产技术规程</w:t>
      </w:r>
    </w:p>
    <w:p w14:paraId="68361865">
      <w:pPr>
        <w:spacing w:line="400" w:lineRule="exact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default" w:ascii="Times New Roman" w:hAnsi="Times New Roman" w:eastAsia="黑体" w:cs="Times New Roman"/>
          <w:kern w:val="0"/>
          <w:szCs w:val="21"/>
        </w:rPr>
        <w:t>3 产地环境</w:t>
      </w:r>
    </w:p>
    <w:p w14:paraId="6BA14B57">
      <w:pPr>
        <w:pStyle w:val="24"/>
        <w:spacing w:line="380" w:lineRule="exact"/>
        <w:contextualSpacing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  <w:lang w:eastAsia="zh-CN"/>
        </w:rPr>
        <w:t>茶园</w:t>
      </w:r>
      <w:r>
        <w:rPr>
          <w:rFonts w:hint="default" w:ascii="Times New Roman" w:hAnsi="Times New Roman" w:cs="Times New Roman"/>
          <w:szCs w:val="21"/>
        </w:rPr>
        <w:t>产地环境条件应符合NY/T 391的规定。</w:t>
      </w:r>
      <w:r>
        <w:rPr>
          <w:rFonts w:hint="default" w:ascii="Times New Roman" w:hAnsi="Times New Roman" w:cs="Times New Roman"/>
          <w:lang w:eastAsia="zh-CN"/>
        </w:rPr>
        <w:t>绿色食品红茶生产应</w:t>
      </w:r>
      <w:r>
        <w:rPr>
          <w:rFonts w:hint="default" w:ascii="Times New Roman" w:hAnsi="Times New Roman" w:cs="Times New Roman"/>
        </w:rPr>
        <w:t>选择生态环境良好、无污染的地区，远离工矿区、公路铁路干线和生活区。产地应距离公路、铁路、生活区50 m以上，距离工矿企业1 km以上，确保上风向和灌水上游无污染源。产地与常规生产区农田间设置缓冲隔离带，宽度8 m左右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7EB458BC">
      <w:pPr>
        <w:spacing w:line="400" w:lineRule="exact"/>
        <w:ind w:firstLine="0" w:firstLineChars="0"/>
        <w:rPr>
          <w:rFonts w:hint="default" w:ascii="Times New Roman" w:hAnsi="Times New Roman" w:eastAsia="黑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Cs w:val="21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Cs w:val="21"/>
          <w:lang w:eastAsia="zh-CN"/>
        </w:rPr>
        <w:t>茶园规划与建设</w:t>
      </w:r>
    </w:p>
    <w:p w14:paraId="4A2E39FE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</w:rPr>
        <w:t>.1</w:t>
      </w:r>
      <w:r>
        <w:rPr>
          <w:rFonts w:ascii="Times New Roman" w:hAnsi="Times New Roman" w:cs="Times New Roman"/>
          <w:szCs w:val="21"/>
        </w:rPr>
        <w:t>根据基地规模、地形和地貌等条件，设置合理的道路系统</w:t>
      </w:r>
      <w:r>
        <w:rPr>
          <w:rFonts w:hint="default"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建立完善的水利系统，做到能蓄能排。</w:t>
      </w:r>
    </w:p>
    <w:p w14:paraId="589B961C">
      <w:pPr>
        <w:pStyle w:val="22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.2</w:t>
      </w:r>
      <w:r>
        <w:rPr>
          <w:rFonts w:hint="default" w:ascii="Times New Roman" w:hAnsi="Times New Roman" w:eastAsia="宋体" w:cs="Times New Roman"/>
        </w:rPr>
        <w:t>平地和15°以下缓坡地等高建园，坡度在15</w:t>
      </w:r>
      <w:r>
        <w:rPr>
          <w:rFonts w:hint="default" w:ascii="Times New Roman" w:hAnsi="Times New Roman" w:eastAsia="MS Mincho" w:cs="Times New Roman"/>
        </w:rPr>
        <w:t>～</w:t>
      </w:r>
      <w:r>
        <w:rPr>
          <w:rFonts w:hint="default" w:ascii="Times New Roman" w:hAnsi="Times New Roman" w:eastAsia="宋体" w:cs="Times New Roman"/>
        </w:rPr>
        <w:t>25°的山地建立等高梯级园田，由下而上开挖建园，梯面宽不小于2米，熟地建园把底土翻上，表土翻下，打碎土块后平整；开挖种植沟宽80cm，深60cm；</w:t>
      </w:r>
    </w:p>
    <w:p w14:paraId="36C128D1">
      <w:pPr>
        <w:pStyle w:val="22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.3</w:t>
      </w:r>
      <w:r>
        <w:rPr>
          <w:rFonts w:hint="default" w:ascii="Times New Roman" w:hAnsi="Times New Roman" w:eastAsia="宋体" w:cs="Times New Roman"/>
        </w:rPr>
        <w:t>坡度在25°以上的陡坡地建</w:t>
      </w:r>
      <w:r>
        <w:rPr>
          <w:rFonts w:hint="default" w:ascii="Times New Roman" w:hAnsi="Times New Roman" w:eastAsia="宋体" w:cs="Times New Roman"/>
        </w:rPr>
        <w:t>议不适宜茶园生产。</w:t>
      </w:r>
    </w:p>
    <w:p w14:paraId="10880EFD">
      <w:pPr>
        <w:spacing w:line="400" w:lineRule="exact"/>
        <w:ind w:firstLine="0" w:firstLineChars="0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default" w:ascii="Times New Roman" w:hAnsi="Times New Roman" w:eastAsia="黑体" w:cs="Times New Roman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0"/>
          <w:szCs w:val="21"/>
        </w:rPr>
        <w:t xml:space="preserve"> 品种</w:t>
      </w:r>
      <w:r>
        <w:rPr>
          <w:rFonts w:hint="default" w:ascii="Times New Roman" w:hAnsi="Times New Roman" w:eastAsia="黑体" w:cs="Times New Roman"/>
          <w:kern w:val="0"/>
          <w:szCs w:val="21"/>
          <w:lang w:eastAsia="zh-CN"/>
        </w:rPr>
        <w:t>及茶苗选择</w:t>
      </w:r>
    </w:p>
    <w:p w14:paraId="793490D1">
      <w:pPr>
        <w:spacing w:line="400" w:lineRule="exact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default" w:ascii="Times New Roman" w:hAnsi="Times New Roman" w:eastAsia="黑体" w:cs="Times New Roman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0"/>
          <w:szCs w:val="21"/>
        </w:rPr>
        <w:t>.1选择原则</w:t>
      </w:r>
    </w:p>
    <w:p w14:paraId="566E8AB8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t>根据茶树种植区域和生长特点选择适合当地生长的抗逆性强、品质好的品种，</w:t>
      </w:r>
      <w:r>
        <w:rPr>
          <w:rFonts w:hint="default" w:ascii="Times New Roman" w:hAnsi="Times New Roman" w:cs="Times New Roman"/>
          <w:szCs w:val="21"/>
        </w:rPr>
        <w:t>优先选用国家或省级审（认、鉴）定的</w:t>
      </w:r>
      <w:r>
        <w:rPr>
          <w:rFonts w:hint="default" w:ascii="Times New Roman" w:hAnsi="Times New Roman" w:cs="Times New Roman"/>
          <w:szCs w:val="21"/>
          <w:lang w:val="en-US" w:eastAsia="zh-CN"/>
        </w:rPr>
        <w:t>优良</w:t>
      </w:r>
      <w:r>
        <w:rPr>
          <w:rFonts w:hint="default" w:ascii="Times New Roman" w:hAnsi="Times New Roman" w:cs="Times New Roman"/>
          <w:szCs w:val="21"/>
        </w:rPr>
        <w:t>品种。</w:t>
      </w:r>
    </w:p>
    <w:p w14:paraId="6CB13D8A">
      <w:pPr>
        <w:spacing w:line="400" w:lineRule="exact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default" w:ascii="Times New Roman" w:hAnsi="Times New Roman" w:eastAsia="黑体" w:cs="Times New Roman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0"/>
          <w:szCs w:val="21"/>
        </w:rPr>
        <w:t>.2品种推荐</w:t>
      </w:r>
    </w:p>
    <w:p w14:paraId="2FE42859">
      <w:pPr>
        <w:autoSpaceDE w:val="0"/>
        <w:autoSpaceDN w:val="0"/>
        <w:adjustRightInd w:val="0"/>
        <w:spacing w:line="400" w:lineRule="exact"/>
        <w:ind w:firstLine="420" w:firstLineChars="200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茶树品种应适宜当地土壤和气候特点，</w:t>
      </w:r>
      <w:r>
        <w:rPr>
          <w:rFonts w:hint="default" w:ascii="Times New Roman" w:hAnsi="Times New Roman" w:cs="Times New Roman"/>
          <w:spacing w:val="13"/>
          <w:szCs w:val="21"/>
        </w:rPr>
        <w:t>并适制红茶类加工</w:t>
      </w:r>
      <w:r>
        <w:rPr>
          <w:rFonts w:hint="default" w:ascii="Times New Roman" w:hAnsi="Times New Roman" w:cs="Times New Roman"/>
          <w:spacing w:val="9"/>
          <w:szCs w:val="21"/>
        </w:rPr>
        <w:t>。云南</w:t>
      </w:r>
      <w:r>
        <w:rPr>
          <w:rFonts w:hint="default" w:ascii="Times New Roman" w:hAnsi="Times New Roman" w:cs="Times New Roman"/>
          <w:szCs w:val="21"/>
        </w:rPr>
        <w:t>可选用云茶红1号、云茶红2号、云茶红3号、云抗10号、云抗14号、云抗47号</w:t>
      </w:r>
      <w:r>
        <w:rPr>
          <w:rFonts w:hint="default" w:ascii="Times New Roman" w:hAnsi="Times New Roman" w:cs="Times New Roman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szCs w:val="21"/>
          <w:lang w:val="en-US" w:eastAsia="zh-CN"/>
        </w:rPr>
        <w:t>凤庆大叶群体种</w:t>
      </w:r>
      <w:r>
        <w:rPr>
          <w:rFonts w:hint="default" w:ascii="Times New Roman" w:hAnsi="Times New Roman" w:cs="Times New Roman"/>
          <w:szCs w:val="21"/>
        </w:rPr>
        <w:t>等品种。四川可选用福鼎大白茶、白毫131、福选6号、中茶302、浙农117号等品种；贵州可选用</w:t>
      </w:r>
      <w:r>
        <w:rPr>
          <w:rFonts w:hint="default" w:ascii="Times New Roman" w:hAnsi="Times New Roman" w:cs="Times New Roman"/>
          <w:kern w:val="0"/>
          <w:szCs w:val="21"/>
          <w:lang w:val="zh-CN"/>
        </w:rPr>
        <w:t>黔湄</w:t>
      </w:r>
      <w:r>
        <w:rPr>
          <w:rFonts w:hint="default" w:ascii="Times New Roman" w:hAnsi="Times New Roman" w:cs="Times New Roman"/>
          <w:szCs w:val="21"/>
        </w:rPr>
        <w:t>419、</w:t>
      </w:r>
      <w:r>
        <w:rPr>
          <w:rFonts w:hint="default" w:ascii="Times New Roman" w:hAnsi="Times New Roman" w:cs="Times New Roman"/>
          <w:kern w:val="0"/>
          <w:szCs w:val="21"/>
          <w:lang w:val="zh-CN"/>
        </w:rPr>
        <w:t>黔湄</w:t>
      </w:r>
      <w:r>
        <w:rPr>
          <w:rFonts w:hint="default" w:ascii="Times New Roman" w:hAnsi="Times New Roman" w:cs="Times New Roman"/>
          <w:szCs w:val="21"/>
        </w:rPr>
        <w:t>502、</w:t>
      </w:r>
      <w:r>
        <w:rPr>
          <w:rFonts w:hint="default" w:ascii="Times New Roman" w:hAnsi="Times New Roman" w:cs="Times New Roman"/>
          <w:kern w:val="0"/>
          <w:szCs w:val="21"/>
          <w:lang w:val="zh-CN"/>
        </w:rPr>
        <w:t>黔湄</w:t>
      </w:r>
      <w:r>
        <w:rPr>
          <w:rFonts w:hint="default" w:ascii="Times New Roman" w:hAnsi="Times New Roman" w:cs="Times New Roman"/>
          <w:szCs w:val="21"/>
        </w:rPr>
        <w:t>601、石阡苔茶等品种。</w:t>
      </w:r>
    </w:p>
    <w:p w14:paraId="7D9A6324">
      <w:pPr>
        <w:pStyle w:val="22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 茶树</w:t>
      </w:r>
      <w:r>
        <w:rPr>
          <w:rFonts w:hint="default" w:ascii="Times New Roman" w:hAnsi="Times New Roman" w:cs="Times New Roman"/>
        </w:rPr>
        <w:t xml:space="preserve">种植  </w:t>
      </w:r>
    </w:p>
    <w:p w14:paraId="4CF8A875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Cs w:val="21"/>
        </w:rPr>
        <w:t>.</w:t>
      </w:r>
      <w:r>
        <w:rPr>
          <w:rFonts w:hint="default" w:ascii="Times New Roman" w:hAnsi="Times New Roman" w:eastAsia="黑体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Cs w:val="21"/>
        </w:rPr>
        <w:t xml:space="preserve"> 种植时间</w:t>
      </w:r>
    </w:p>
    <w:p w14:paraId="15AEE703">
      <w:pPr>
        <w:adjustRightInd w:val="0"/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6.1.</w:t>
      </w:r>
      <w:r>
        <w:rPr>
          <w:rFonts w:hint="default" w:ascii="Times New Roman" w:hAnsi="Times New Roman" w:cs="Times New Roman"/>
          <w:szCs w:val="21"/>
        </w:rPr>
        <w:t>1茶籽直播：</w:t>
      </w:r>
      <w:r>
        <w:rPr>
          <w:rFonts w:hint="default" w:ascii="Times New Roman" w:hAnsi="Times New Roman" w:cs="Times New Roman"/>
        </w:rPr>
        <w:t>当年10月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</w:rPr>
        <w:t>次年1月。</w:t>
      </w:r>
    </w:p>
    <w:p w14:paraId="3733FEBD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FF0000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.2茶苗移栽：6月下旬</w:t>
      </w:r>
      <w:r>
        <w:rPr>
          <w:rFonts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10月底。</w:t>
      </w:r>
    </w:p>
    <w:p w14:paraId="7A3A0D19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Cs w:val="21"/>
        </w:rPr>
        <w:t>.</w:t>
      </w:r>
      <w:r>
        <w:rPr>
          <w:rFonts w:hint="default" w:ascii="Times New Roman" w:hAnsi="Times New Roman" w:eastAsia="黑体" w:cs="Times New Roman"/>
          <w:szCs w:val="21"/>
          <w:lang w:val="en-US" w:eastAsia="zh-CN"/>
        </w:rPr>
        <w:t>2种植方式</w:t>
      </w:r>
    </w:p>
    <w:p w14:paraId="400FF23A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.1种植前施足基肥，基肥以有机肥和矿物源肥料为主，深度在40cm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50</w:t>
      </w:r>
      <w:r>
        <w:rPr>
          <w:rFonts w:ascii="Times New Roman" w:hAnsi="Times New Roman" w:cs="Times New Roman"/>
          <w:szCs w:val="21"/>
        </w:rPr>
        <w:t xml:space="preserve"> cm</w:t>
      </w:r>
      <w:r>
        <w:rPr>
          <w:rFonts w:hint="default" w:ascii="Times New Roman" w:hAnsi="Times New Roman" w:cs="Times New Roman"/>
          <w:szCs w:val="21"/>
        </w:rPr>
        <w:t>。</w:t>
      </w:r>
    </w:p>
    <w:p w14:paraId="51B6AF12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.2</w:t>
      </w:r>
      <w:r>
        <w:rPr>
          <w:rFonts w:hint="default" w:ascii="Times New Roman" w:hAnsi="Times New Roman" w:cs="Times New Roman"/>
        </w:rPr>
        <w:t>茶苗移栽：单行种植行距150cm，株距30cm，亩植1200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cs="Times New Roman"/>
        </w:rPr>
        <w:t>1500株左右，双行种植大行距150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cs="Times New Roman"/>
        </w:rPr>
        <w:t>180cm，小行距30cm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cs="Times New Roman"/>
        </w:rPr>
        <w:t>40cm，株距30cm，亩植2400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cs="Times New Roman"/>
        </w:rPr>
        <w:t>2500株左右，覆土高于根颈处3cm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cs="Times New Roman"/>
        </w:rPr>
        <w:t>4cm。</w:t>
      </w:r>
    </w:p>
    <w:p w14:paraId="30FB7FBE">
      <w:pPr>
        <w:pStyle w:val="22"/>
        <w:numPr>
          <w:ilvl w:val="0"/>
          <w:numId w:val="0"/>
        </w:numPr>
        <w:spacing w:before="0" w:beforeLines="0" w:after="0" w:afterLines="0"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.3</w:t>
      </w:r>
      <w:r>
        <w:rPr>
          <w:rFonts w:hint="default" w:ascii="Times New Roman" w:hAnsi="Times New Roman" w:eastAsia="宋体" w:cs="Times New Roman"/>
        </w:rPr>
        <w:t>茶籽直播：种植规格与茶苗移栽相同，覆土5cm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6cm。</w:t>
      </w:r>
    </w:p>
    <w:p w14:paraId="54AD5257">
      <w:pPr>
        <w:spacing w:line="400" w:lineRule="exact"/>
        <w:rPr>
          <w:rFonts w:hint="eastAsia" w:ascii="Times New Roman" w:hAnsi="Times New Roman" w:eastAsia="黑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Cs/>
          <w:szCs w:val="21"/>
          <w:lang w:eastAsia="zh-CN"/>
        </w:rPr>
        <w:t>树冠管理</w:t>
      </w:r>
    </w:p>
    <w:p w14:paraId="7794F992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Cs/>
          <w:szCs w:val="21"/>
        </w:rPr>
        <w:t>.1定型修剪</w:t>
      </w:r>
    </w:p>
    <w:p w14:paraId="25EC4474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幼龄茶园、台刈改造茶园，采取2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3次定型修剪和一次整形修剪，期间要求封园养蓬，杜绝以采代剪。</w:t>
      </w:r>
    </w:p>
    <w:p w14:paraId="3650047E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第一次定剪：苗高30cm左右，用整枝剪离地面15cm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20cm处剪去茶树主枝。第二次定剪：苗高50cm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55cm，用整枝剪离地面3</w:t>
      </w:r>
      <w:r>
        <w:rPr>
          <w:rFonts w:ascii="Times New Roman" w:hAnsi="Times New Roman" w:cs="Times New Roman"/>
          <w:szCs w:val="21"/>
        </w:rPr>
        <w:t>0</w:t>
      </w:r>
      <w:r>
        <w:rPr>
          <w:rFonts w:hint="default" w:ascii="Times New Roman" w:hAnsi="Times New Roman" w:cs="Times New Roman"/>
          <w:szCs w:val="21"/>
        </w:rPr>
        <w:t>cm左右剪去次生主梢，留养外侧腋芽，促使分枝向外生长。第三次定剪：苗高60cm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70cm以上，用大平剪或修剪机离地面40cm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ascii="Times New Roman" w:hAnsi="Times New Roman" w:cs="Times New Roman"/>
          <w:szCs w:val="21"/>
        </w:rPr>
        <w:t>45</w:t>
      </w:r>
      <w:r>
        <w:rPr>
          <w:rFonts w:hint="default" w:ascii="Times New Roman" w:hAnsi="Times New Roman" w:cs="Times New Roman"/>
          <w:szCs w:val="21"/>
        </w:rPr>
        <w:t>cm处剪成平形或弧形树冠。第四次整形修剪：新梢半木质化，用大平剪或修剪机离地面</w:t>
      </w:r>
      <w:r>
        <w:rPr>
          <w:rFonts w:ascii="Times New Roman" w:hAnsi="Times New Roman" w:cs="Times New Roman"/>
          <w:szCs w:val="21"/>
        </w:rPr>
        <w:t>6</w:t>
      </w:r>
      <w:r>
        <w:rPr>
          <w:rFonts w:hint="default" w:ascii="Times New Roman" w:hAnsi="Times New Roman" w:cs="Times New Roman"/>
          <w:szCs w:val="21"/>
        </w:rPr>
        <w:t>0cm处剪成平形或弧形树冠。</w:t>
      </w:r>
    </w:p>
    <w:p w14:paraId="5F51A9DA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中小叶品种茶树第三、四次定型修剪高度又在上一次基础上提高10～15cm（离地40～55cm）进行。</w:t>
      </w:r>
    </w:p>
    <w:p w14:paraId="3ED193CA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Cs/>
          <w:szCs w:val="21"/>
        </w:rPr>
        <w:t>.2修剪方式</w:t>
      </w:r>
    </w:p>
    <w:p w14:paraId="2D12195C">
      <w:pPr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</w:rPr>
        <w:t>.2.1</w:t>
      </w:r>
      <w:r>
        <w:rPr>
          <w:rFonts w:hint="default" w:ascii="Times New Roman" w:hAnsi="Times New Roman" w:cs="Times New Roman"/>
          <w:szCs w:val="21"/>
        </w:rPr>
        <w:t>轻修剪：茶园投产后，每年于11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12月对树冠进行1次整型修剪。</w:t>
      </w:r>
    </w:p>
    <w:p w14:paraId="38150C78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</w:rPr>
        <w:t>.2.2</w:t>
      </w:r>
      <w:r>
        <w:rPr>
          <w:rFonts w:hint="default" w:ascii="Times New Roman" w:hAnsi="Times New Roman" w:cs="Times New Roman"/>
          <w:szCs w:val="21"/>
        </w:rPr>
        <w:t>深修剪：依茶树生长势，隔4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5年进行1次修剪，深度15cm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20cm，剪除“刷把枝”、“鸡爪枝”。</w:t>
      </w:r>
    </w:p>
    <w:p w14:paraId="493BED1B">
      <w:pPr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</w:rPr>
        <w:t>.2.3</w:t>
      </w:r>
      <w:r>
        <w:rPr>
          <w:rFonts w:hint="default" w:ascii="Times New Roman" w:hAnsi="Times New Roman" w:cs="Times New Roman"/>
          <w:szCs w:val="21"/>
        </w:rPr>
        <w:t>重修剪：茶园多年投采后，依树势进行重修剪，在高度1/2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1/3处进行。</w:t>
      </w:r>
    </w:p>
    <w:p w14:paraId="50AB00F1">
      <w:pPr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</w:rPr>
        <w:t>.2.4</w:t>
      </w:r>
      <w:r>
        <w:rPr>
          <w:rFonts w:hint="default" w:ascii="Times New Roman" w:hAnsi="Times New Roman" w:cs="Times New Roman"/>
          <w:szCs w:val="21"/>
        </w:rPr>
        <w:t>台刈：依茶树树势进行台刈，离地面20cm左右锯除树冠；</w:t>
      </w:r>
    </w:p>
    <w:p w14:paraId="11173A22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8 土壤管理与施肥</w:t>
      </w:r>
    </w:p>
    <w:p w14:paraId="423DB7B8">
      <w:pPr>
        <w:spacing w:line="400" w:lineRule="exact"/>
        <w:ind w:firstLine="0" w:firstLineChars="0"/>
        <w:rPr>
          <w:rFonts w:hint="eastAsia" w:ascii="Times New Roman" w:hAnsi="Times New Roman" w:eastAsia="黑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8.1 土壤耕作</w:t>
      </w:r>
    </w:p>
    <w:p w14:paraId="0A66AA38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耕锄分浅耕和深耕。春茶结束浅耕1次，夏茶结束浅耕1次，深度为3cm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8㎝；秋茶结束深耕1次，深度15cm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25㎝。</w:t>
      </w:r>
    </w:p>
    <w:p w14:paraId="102170CB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8.2</w:t>
      </w:r>
      <w:r>
        <w:rPr>
          <w:rFonts w:hint="default" w:ascii="Times New Roman" w:hAnsi="Times New Roman" w:eastAsia="黑体" w:cs="Times New Roman"/>
          <w:bCs/>
          <w:szCs w:val="21"/>
        </w:rPr>
        <w:t xml:space="preserve"> 封园</w:t>
      </w:r>
    </w:p>
    <w:p w14:paraId="50A5D7B7">
      <w:pPr>
        <w:spacing w:line="400" w:lineRule="exact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封园一般掌握在立冬之前，日平均气温掌握在15度以上时封园。亩用45%晶体石硫合剂250</w:t>
      </w:r>
      <w:r>
        <w:rPr>
          <w:rFonts w:hint="default" w:ascii="Times New Roman" w:hAnsi="Times New Roman" w:cs="Times New Roman"/>
          <w:szCs w:val="21"/>
        </w:rPr>
        <w:t>g</w:t>
      </w:r>
      <w:r>
        <w:rPr>
          <w:rFonts w:hint="default" w:ascii="Times New Roman" w:hAnsi="Times New Roman" w:eastAsia="MS Mincho" w:cs="Times New Roman"/>
          <w:b/>
          <w:szCs w:val="21"/>
        </w:rPr>
        <w:t>～</w:t>
      </w:r>
      <w:r>
        <w:rPr>
          <w:rFonts w:ascii="Times New Roman" w:hAnsi="Times New Roman" w:cs="Times New Roman"/>
          <w:szCs w:val="21"/>
        </w:rPr>
        <w:t>300</w:t>
      </w:r>
      <w:r>
        <w:rPr>
          <w:rFonts w:hint="default" w:ascii="Times New Roman" w:hAnsi="Times New Roman" w:cs="Times New Roman"/>
          <w:szCs w:val="21"/>
        </w:rPr>
        <w:t>g</w:t>
      </w:r>
      <w:r>
        <w:rPr>
          <w:rFonts w:ascii="Times New Roman" w:hAnsi="Times New Roman" w:cs="Times New Roman"/>
          <w:szCs w:val="21"/>
        </w:rPr>
        <w:t>，兑水60kg喷雾，叶子的正反面喷湿，枝干、茶丛基部受药均匀，这样才能保证效果。</w:t>
      </w:r>
    </w:p>
    <w:p w14:paraId="1BCACE65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8.3</w:t>
      </w:r>
      <w:r>
        <w:rPr>
          <w:rFonts w:hint="default" w:ascii="Times New Roman" w:hAnsi="Times New Roman" w:eastAsia="黑体" w:cs="Times New Roman"/>
          <w:kern w:val="0"/>
          <w:szCs w:val="21"/>
        </w:rPr>
        <w:t>施肥</w:t>
      </w:r>
    </w:p>
    <w:p w14:paraId="50251D36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kern w:val="0"/>
          <w:szCs w:val="21"/>
        </w:rPr>
        <w:t>.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kern w:val="0"/>
          <w:szCs w:val="21"/>
        </w:rPr>
        <w:t>1</w:t>
      </w:r>
      <w:r>
        <w:rPr>
          <w:rFonts w:hint="eastAsia" w:ascii="Times New Roman" w:hAnsi="Times New Roman" w:eastAsia="黑体" w:cs="Times New Roman"/>
          <w:kern w:val="0"/>
          <w:szCs w:val="21"/>
          <w:lang w:eastAsia="zh-CN"/>
        </w:rPr>
        <w:t>施肥</w:t>
      </w:r>
      <w:r>
        <w:rPr>
          <w:rFonts w:hint="default" w:ascii="Times New Roman" w:hAnsi="Times New Roman" w:eastAsia="黑体" w:cs="Times New Roman"/>
          <w:kern w:val="0"/>
          <w:szCs w:val="21"/>
        </w:rPr>
        <w:t>原则</w:t>
      </w:r>
    </w:p>
    <w:p w14:paraId="3C4CB4D4">
      <w:pPr>
        <w:adjustRightInd w:val="0"/>
        <w:snapToGrid w:val="0"/>
        <w:spacing w:line="360" w:lineRule="auto"/>
        <w:ind w:firstLine="525" w:firstLineChars="25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肥料种类及使用应符合NY/T 394要求。以“土壤健康、化学减控、有机肥施用、安全优质、生态绿色”为原则，减控化肥用量。无机氮素用量按当地同种作物习惯施用量减半使。</w:t>
      </w:r>
    </w:p>
    <w:p w14:paraId="53C65711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kern w:val="0"/>
          <w:szCs w:val="21"/>
        </w:rPr>
        <w:t>.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kern w:val="0"/>
          <w:szCs w:val="21"/>
        </w:rPr>
        <w:t>2基肥</w:t>
      </w:r>
    </w:p>
    <w:p w14:paraId="2F73096F">
      <w:pPr>
        <w:pStyle w:val="22"/>
        <w:numPr>
          <w:ilvl w:val="0"/>
          <w:numId w:val="0"/>
        </w:numPr>
        <w:spacing w:before="0" w:beforeLines="0" w:after="0" w:afterLines="0" w:line="400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每年11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12月，结合茶树修剪在距茶苗根部10cm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15cm，开深20cm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25cm的沟，每亩施有机肥800kg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1000kg或油枯1000kg</w:t>
      </w:r>
      <w:r>
        <w:rPr>
          <w:rFonts w:hint="default" w:ascii="Times New Roman" w:hAnsi="Times New Roman" w:eastAsia="宋体" w:cs="Times New Roman"/>
          <w:color w:val="FF0000"/>
        </w:rPr>
        <w:t>、过磷酸钙20kg</w:t>
      </w:r>
      <w:r>
        <w:rPr>
          <w:rFonts w:hint="default" w:ascii="Times New Roman" w:hAnsi="Times New Roman" w:eastAsia="MS Mincho" w:cs="Times New Roman"/>
          <w:b/>
          <w:color w:val="FF0000"/>
        </w:rPr>
        <w:t>～</w:t>
      </w:r>
      <w:r>
        <w:rPr>
          <w:rFonts w:hint="default" w:ascii="Times New Roman" w:hAnsi="Times New Roman" w:eastAsia="宋体" w:cs="Times New Roman"/>
          <w:color w:val="FF0000"/>
        </w:rPr>
        <w:t>25kg、</w:t>
      </w:r>
      <w:r>
        <w:rPr>
          <w:rFonts w:hint="default" w:ascii="Times New Roman" w:hAnsi="Times New Roman" w:eastAsia="宋体" w:cs="Times New Roman"/>
        </w:rPr>
        <w:t>硫酸钾10kg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 xml:space="preserve">15 kg后盖土，有条件的地方建议增施部份无机矿质肥料和微生物肥料。 </w:t>
      </w:r>
    </w:p>
    <w:p w14:paraId="7D3B55F6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kern w:val="0"/>
          <w:szCs w:val="21"/>
        </w:rPr>
        <w:t>.3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.3</w:t>
      </w:r>
      <w:r>
        <w:rPr>
          <w:rFonts w:hint="default" w:ascii="Times New Roman" w:hAnsi="Times New Roman" w:eastAsia="黑体" w:cs="Times New Roman"/>
          <w:kern w:val="0"/>
          <w:szCs w:val="21"/>
        </w:rPr>
        <w:t>追肥</w:t>
      </w:r>
    </w:p>
    <w:p w14:paraId="4DC2AA0E">
      <w:pPr>
        <w:pStyle w:val="22"/>
        <w:numPr>
          <w:ilvl w:val="0"/>
          <w:numId w:val="0"/>
        </w:numPr>
        <w:spacing w:before="0" w:beforeLines="0" w:after="0" w:afterLines="0" w:line="400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在各茶季结束后，开8cm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10cm的沟按每亩</w:t>
      </w:r>
      <w:r>
        <w:rPr>
          <w:rFonts w:hint="default" w:ascii="Times New Roman" w:hAnsi="Times New Roman" w:eastAsia="宋体" w:cs="Times New Roman"/>
          <w:color w:val="FF0000"/>
        </w:rPr>
        <w:t>15kg</w:t>
      </w:r>
      <w:r>
        <w:rPr>
          <w:rFonts w:hint="default" w:ascii="Times New Roman" w:hAnsi="Times New Roman" w:eastAsia="MS Mincho" w:cs="Times New Roman"/>
          <w:b/>
          <w:color w:val="FF0000"/>
        </w:rPr>
        <w:t>～</w:t>
      </w:r>
      <w:r>
        <w:rPr>
          <w:rFonts w:hint="default" w:ascii="Times New Roman" w:hAnsi="Times New Roman" w:eastAsia="宋体" w:cs="Times New Roman"/>
          <w:color w:val="FF0000"/>
        </w:rPr>
        <w:t>20kg</w:t>
      </w:r>
      <w:r>
        <w:rPr>
          <w:rFonts w:hint="default" w:ascii="Times New Roman" w:hAnsi="Times New Roman" w:eastAsia="宋体" w:cs="Times New Roman"/>
        </w:rPr>
        <w:t>尿素施用盖土。有条件的地方建议使用腐熟后的农家液肥根际浇施。</w:t>
      </w:r>
    </w:p>
    <w:p w14:paraId="7A914E00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8.3</w:t>
      </w:r>
      <w:r>
        <w:rPr>
          <w:rFonts w:hint="default" w:ascii="Times New Roman" w:hAnsi="Times New Roman" w:eastAsia="黑体" w:cs="Times New Roman"/>
          <w:kern w:val="0"/>
          <w:szCs w:val="21"/>
        </w:rPr>
        <w:t>.4叶面肥</w:t>
      </w:r>
    </w:p>
    <w:p w14:paraId="44CEDE80">
      <w:pPr>
        <w:adjustRightInd w:val="0"/>
        <w:snapToGrid w:val="0"/>
        <w:spacing w:line="440" w:lineRule="exact"/>
        <w:ind w:firstLine="630" w:firstLineChars="300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>根据茶树生长情况合理使用叶面肥，使用的商品叶面肥必须已</w:t>
      </w:r>
      <w:r>
        <w:rPr>
          <w:rFonts w:hint="default" w:ascii="Times New Roman" w:hAnsi="Times New Roman" w:cs="Times New Roman"/>
          <w:lang w:eastAsia="zh-CN"/>
        </w:rPr>
        <w:t>按要求</w:t>
      </w:r>
      <w:r>
        <w:rPr>
          <w:rFonts w:hint="default" w:ascii="Times New Roman" w:hAnsi="Times New Roman" w:cs="Times New Roman"/>
        </w:rPr>
        <w:t>在农业</w:t>
      </w:r>
      <w:r>
        <w:rPr>
          <w:rFonts w:hint="default" w:ascii="Times New Roman" w:hAnsi="Times New Roman" w:cs="Times New Roman"/>
          <w:lang w:eastAsia="zh-CN"/>
        </w:rPr>
        <w:t>农村</w:t>
      </w:r>
      <w:r>
        <w:rPr>
          <w:rFonts w:hint="default" w:ascii="Times New Roman" w:hAnsi="Times New Roman" w:cs="Times New Roman"/>
        </w:rPr>
        <w:t>部登记</w:t>
      </w:r>
      <w:r>
        <w:rPr>
          <w:rFonts w:hint="default" w:ascii="Times New Roman" w:hAnsi="Times New Roman" w:cs="Times New Roman"/>
          <w:lang w:eastAsia="zh-CN"/>
        </w:rPr>
        <w:t>（备案）</w:t>
      </w:r>
      <w:r>
        <w:rPr>
          <w:rFonts w:hint="default" w:ascii="Times New Roman" w:hAnsi="Times New Roman" w:cs="Times New Roman"/>
        </w:rPr>
        <w:t>，采摘前10 d停止使用。每亩可采用</w:t>
      </w:r>
      <w:r>
        <w:rPr>
          <w:rFonts w:hint="default" w:ascii="Times New Roman" w:hAnsi="Times New Roman" w:cs="Times New Roman"/>
          <w:color w:val="FF0000"/>
        </w:rPr>
        <w:t>2kg</w:t>
      </w:r>
      <w:r>
        <w:rPr>
          <w:rFonts w:hint="default" w:ascii="Times New Roman" w:hAnsi="Times New Roman" w:eastAsia="MS Mincho" w:cs="Times New Roman"/>
          <w:b/>
          <w:color w:val="FF0000"/>
        </w:rPr>
        <w:t>～</w:t>
      </w:r>
      <w:r>
        <w:rPr>
          <w:rFonts w:hint="default" w:ascii="Times New Roman" w:hAnsi="Times New Roman" w:cs="Times New Roman"/>
          <w:color w:val="FF0000"/>
        </w:rPr>
        <w:t>3kg尿素或0.8kg</w:t>
      </w:r>
      <w:r>
        <w:rPr>
          <w:rFonts w:hint="default" w:ascii="Times New Roman" w:hAnsi="Times New Roman" w:eastAsia="MS Mincho" w:cs="Times New Roman"/>
          <w:b/>
          <w:color w:val="FF0000"/>
        </w:rPr>
        <w:t>～</w:t>
      </w:r>
      <w:r>
        <w:rPr>
          <w:rFonts w:hint="default" w:ascii="Times New Roman" w:hAnsi="Times New Roman" w:cs="Times New Roman"/>
          <w:color w:val="FF0000"/>
        </w:rPr>
        <w:t>1kg磷酸二氢钾进行叶面喷施</w:t>
      </w:r>
      <w:r>
        <w:rPr>
          <w:rFonts w:hint="eastAsia" w:ascii="Times New Roman" w:hAnsi="Times New Roman" w:cs="Times New Roman"/>
          <w:color w:val="FF0000"/>
          <w:lang w:eastAsia="zh-CN"/>
        </w:rPr>
        <w:t>。</w:t>
      </w:r>
    </w:p>
    <w:p w14:paraId="0EA921A2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kern w:val="0"/>
          <w:szCs w:val="21"/>
          <w:lang w:eastAsia="zh-CN"/>
        </w:rPr>
        <w:t>水分管理与</w:t>
      </w:r>
      <w:r>
        <w:rPr>
          <w:rFonts w:hint="default" w:ascii="Times New Roman" w:hAnsi="Times New Roman" w:eastAsia="黑体" w:cs="Times New Roman"/>
          <w:kern w:val="0"/>
          <w:szCs w:val="21"/>
        </w:rPr>
        <w:t>灌溉</w:t>
      </w:r>
    </w:p>
    <w:p w14:paraId="66362713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szCs w:val="21"/>
        </w:rPr>
        <w:t>.1靠天然降雨来满足生产，茶园可不进行人工浇灌。</w:t>
      </w:r>
    </w:p>
    <w:p w14:paraId="3B79FCEA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szCs w:val="21"/>
        </w:rPr>
        <w:t>.2 具备灌溉条件或需灌溉的茶园，宜采用喷灌、滴灌等节水灌溉方式，成年茶园夏季高温干旱每次灌溉不少于每亩</w:t>
      </w:r>
      <w:r>
        <w:rPr>
          <w:rFonts w:ascii="Times New Roman" w:hAnsi="Times New Roman" w:cs="Times New Roman"/>
          <w:szCs w:val="21"/>
        </w:rPr>
        <w:t>30</w:t>
      </w:r>
      <w:r>
        <w:rPr>
          <w:rFonts w:hint="default" w:ascii="Times New Roman" w:hAnsi="Times New Roman" w:cs="Times New Roman"/>
          <w:szCs w:val="21"/>
        </w:rPr>
        <w:t>m</w:t>
      </w:r>
      <w:r>
        <w:rPr>
          <w:rFonts w:hint="default" w:ascii="Times New Roman" w:hAnsi="Times New Roman" w:cs="Times New Roman"/>
          <w:szCs w:val="21"/>
          <w:vertAlign w:val="superscript"/>
        </w:rPr>
        <w:t>3</w:t>
      </w:r>
      <w:r>
        <w:rPr>
          <w:rFonts w:hint="default" w:ascii="Times New Roman" w:hAnsi="Times New Roman" w:cs="Times New Roman"/>
          <w:szCs w:val="21"/>
        </w:rPr>
        <w:t>左右，越冬期干旱每次灌溉每亩</w:t>
      </w:r>
      <w:r>
        <w:rPr>
          <w:rFonts w:ascii="Times New Roman" w:hAnsi="Times New Roman" w:cs="Times New Roman"/>
          <w:szCs w:val="21"/>
        </w:rPr>
        <w:t>10</w:t>
      </w:r>
      <w:r>
        <w:rPr>
          <w:rFonts w:hint="default" w:ascii="Times New Roman" w:hAnsi="Times New Roman" w:cs="Times New Roman"/>
          <w:szCs w:val="21"/>
        </w:rPr>
        <w:t>m</w:t>
      </w:r>
      <w:r>
        <w:rPr>
          <w:rFonts w:hint="default" w:ascii="Times New Roman" w:hAnsi="Times New Roman" w:cs="Times New Roman"/>
          <w:szCs w:val="21"/>
          <w:vertAlign w:val="superscript"/>
        </w:rPr>
        <w:t>3</w:t>
      </w:r>
      <w:r>
        <w:rPr>
          <w:rFonts w:hint="default" w:ascii="Times New Roman" w:hAnsi="Times New Roman" w:cs="Times New Roman"/>
          <w:szCs w:val="21"/>
        </w:rPr>
        <w:t>左右。</w:t>
      </w:r>
    </w:p>
    <w:p w14:paraId="3B886F29">
      <w:pPr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szCs w:val="21"/>
        </w:rPr>
        <w:t>.3 灌溉水质应符合NY/T 391的规定。</w:t>
      </w:r>
    </w:p>
    <w:p w14:paraId="43AC0052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kern w:val="0"/>
          <w:szCs w:val="21"/>
        </w:rPr>
        <w:t xml:space="preserve"> 病虫草害防治</w:t>
      </w:r>
    </w:p>
    <w:p w14:paraId="69CB9941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kern w:val="0"/>
          <w:szCs w:val="21"/>
        </w:rPr>
        <w:t>.1防治原则</w:t>
      </w:r>
    </w:p>
    <w:p w14:paraId="251BA212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病虫草害防治应符合NY/T 393规定，遵循“预防为主，综合</w:t>
      </w:r>
      <w:r>
        <w:rPr>
          <w:rFonts w:hint="default" w:ascii="Times New Roman" w:hAnsi="Times New Roman" w:cs="Times New Roman"/>
          <w:szCs w:val="21"/>
          <w:lang w:eastAsia="zh-CN"/>
        </w:rPr>
        <w:t>防治</w:t>
      </w:r>
      <w:r>
        <w:rPr>
          <w:rFonts w:hint="default" w:ascii="Times New Roman" w:hAnsi="Times New Roman" w:cs="Times New Roman"/>
          <w:szCs w:val="21"/>
        </w:rPr>
        <w:t>”方针，构建良好的绿色茶园生态系统，优先考虑农业、物理防治与生物防治措施，必要时再使用化学防控。</w:t>
      </w:r>
    </w:p>
    <w:p w14:paraId="3EE48710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kern w:val="0"/>
          <w:szCs w:val="21"/>
        </w:rPr>
        <w:t>.2 防治措施</w:t>
      </w:r>
    </w:p>
    <w:p w14:paraId="2D853F50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kern w:val="0"/>
          <w:szCs w:val="21"/>
        </w:rPr>
        <w:t>.2.1农业防治</w:t>
      </w:r>
    </w:p>
    <w:p w14:paraId="6E65EE12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.2.1.1 选择抗病力强的品种进行种植生产；</w:t>
      </w:r>
    </w:p>
    <w:p w14:paraId="46A9F279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.2.1.2合理密植，保持茶园的透光性、透气性，降低病害的发生；</w:t>
      </w:r>
    </w:p>
    <w:p w14:paraId="3D08C8E8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.2.1.3适时施肥，保证茶树生长所需养分，增强抗病力；</w:t>
      </w:r>
    </w:p>
    <w:p w14:paraId="4FB98970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.2.1.4</w:t>
      </w:r>
      <w:r>
        <w:rPr>
          <w:rFonts w:hint="default" w:ascii="Times New Roman" w:hAnsi="Times New Roman" w:cs="Times New Roman"/>
        </w:rPr>
        <w:t>及时分批多次采摘。在采摘季节及时分批多次采摘，恶化蚜虫、小绿叶蝉、茶细蛾、茶跗线螨、茶红蜘蛛、丽纹象甲等害虫的营养条件，同时也可破坏其产卵场所，减轻病虫为害；</w:t>
      </w:r>
    </w:p>
    <w:p w14:paraId="2806D4BA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.2.1.5</w:t>
      </w:r>
      <w:r>
        <w:rPr>
          <w:rFonts w:hint="default" w:ascii="Times New Roman" w:hAnsi="Times New Roman" w:cs="Times New Roman"/>
        </w:rPr>
        <w:t>开展植树造林、种植行道树、遮荫树，套种各类绿肥植物，增加茶园周围的植被，创造不利于病虫草孳生和有利于各类天敌繁衍的环境条件，增强茶园自然生态调控能力。</w:t>
      </w:r>
    </w:p>
    <w:p w14:paraId="5F6E9750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kern w:val="0"/>
          <w:szCs w:val="21"/>
        </w:rPr>
        <w:t>.2.2 物理防治</w:t>
      </w:r>
    </w:p>
    <w:p w14:paraId="66C8B7C1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.2.2.1采用人工捕杀，减轻茶毛虫、蓑蛾类、茶丽纹象甲等害虫；</w:t>
      </w:r>
    </w:p>
    <w:p w14:paraId="752783CC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.2.2.2进行灯光诱杀，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>每</w:t>
      </w:r>
      <w:r>
        <w:rPr>
          <w:rFonts w:ascii="Times New Roman" w:hAnsi="Times New Roman" w:cs="Times New Roman"/>
          <w:szCs w:val="21"/>
        </w:rPr>
        <w:t>15</w:t>
      </w:r>
      <w:r>
        <w:rPr>
          <w:rFonts w:hint="default" w:ascii="Times New Roman" w:hAnsi="Times New Roman" w:cs="Times New Roman"/>
          <w:szCs w:val="21"/>
        </w:rPr>
        <w:t>亩茶园安装1盏频振式或太阳能杀虫灯，诱杀茶尺蠖等鳞翅目害虫；</w:t>
      </w:r>
    </w:p>
    <w:p w14:paraId="6E254497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.2.2.3色板诱杀，每亩在高于茶蓬10cm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20 cm处悬挂</w:t>
      </w:r>
      <w:r>
        <w:rPr>
          <w:rFonts w:ascii="Times New Roman" w:hAnsi="Times New Roman" w:cs="Times New Roman"/>
          <w:szCs w:val="21"/>
        </w:rPr>
        <w:t>25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ascii="Times New Roman" w:hAnsi="Times New Roman" w:cs="Times New Roman"/>
          <w:szCs w:val="21"/>
        </w:rPr>
        <w:t>30</w:t>
      </w:r>
      <w:r>
        <w:rPr>
          <w:rFonts w:hint="default" w:ascii="Times New Roman" w:hAnsi="Times New Roman" w:cs="Times New Roman"/>
          <w:szCs w:val="21"/>
        </w:rPr>
        <w:t>张黄色或蓝色粘虫板诱杀小贯小绿叶蝉、黑刺粉虱、蚜虫和茶黄蓟马，害虫高发期每15d更换一次；</w:t>
      </w:r>
    </w:p>
    <w:p w14:paraId="0C7F3B98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.2.2.4昆虫信息素、食诱剂等诱杀。</w:t>
      </w:r>
    </w:p>
    <w:p w14:paraId="3C3999CC"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kern w:val="0"/>
          <w:szCs w:val="21"/>
        </w:rPr>
        <w:t xml:space="preserve">.2.3 </w:t>
      </w:r>
      <w:r>
        <w:rPr>
          <w:rFonts w:ascii="Times New Roman" w:hAnsi="Times New Roman" w:eastAsia="黑体" w:cs="Times New Roman"/>
          <w:kern w:val="0"/>
          <w:szCs w:val="21"/>
        </w:rPr>
        <w:t>生物防治</w:t>
      </w:r>
    </w:p>
    <w:p w14:paraId="3118B25E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.2.3.1保护和利用茶园中的草蛉、瓢虫、蜘蛛、捕食螨等；</w:t>
      </w:r>
    </w:p>
    <w:p w14:paraId="50C0F29E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.2.3.2 利用天敌防治虫害。每亩释放茶尺蠖绒茧蜂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default" w:ascii="Times New Roman" w:hAnsi="Times New Roman" w:cs="Times New Roman"/>
          <w:szCs w:val="21"/>
        </w:rPr>
        <w:t>万头以上或释放斜纹猫蛛或迷宫漏斗蛛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default" w:ascii="Times New Roman" w:hAnsi="Times New Roman" w:cs="Times New Roman"/>
          <w:szCs w:val="21"/>
        </w:rPr>
        <w:t>千头以上，用以寄生或捕食茶尺蠖；每亩释放叶蝉缨小蜂</w:t>
      </w:r>
      <w:r>
        <w:rPr>
          <w:rFonts w:ascii="Times New Roman" w:hAnsi="Times New Roman" w:cs="Times New Roman"/>
          <w:szCs w:val="21"/>
        </w:rPr>
        <w:t>2.5万</w:t>
      </w:r>
      <w:r>
        <w:rPr>
          <w:rFonts w:hint="default" w:ascii="Times New Roman" w:hAnsi="Times New Roman" w:cs="Times New Roman"/>
          <w:szCs w:val="21"/>
        </w:rPr>
        <w:t>头以上，用以寄生小贯小绿叶蝉的虫卵；每亩释放白斑猎蛛</w:t>
      </w:r>
      <w:r>
        <w:rPr>
          <w:rFonts w:ascii="Times New Roman" w:hAnsi="Times New Roman" w:cs="Times New Roman"/>
          <w:szCs w:val="21"/>
        </w:rPr>
        <w:t>5</w:t>
      </w:r>
      <w:r>
        <w:rPr>
          <w:rFonts w:hint="default" w:ascii="Times New Roman" w:hAnsi="Times New Roman" w:cs="Times New Roman"/>
          <w:szCs w:val="21"/>
        </w:rPr>
        <w:t>千头以上，用以捕食小贯小绿叶蝉；每亩释放德氏钝绥螨或黄瓜钝绥螨</w:t>
      </w:r>
      <w:r>
        <w:rPr>
          <w:rFonts w:ascii="Times New Roman" w:hAnsi="Times New Roman" w:cs="Times New Roman"/>
          <w:szCs w:val="21"/>
        </w:rPr>
        <w:t>30</w:t>
      </w:r>
      <w:r>
        <w:rPr>
          <w:rFonts w:hint="default" w:ascii="Times New Roman" w:hAnsi="Times New Roman" w:cs="Times New Roman"/>
          <w:szCs w:val="21"/>
        </w:rPr>
        <w:t>万头以上，用以捕食茶跗线螨。期间需避开天敌对农药的敏感期。</w:t>
      </w:r>
    </w:p>
    <w:p w14:paraId="232CAB35"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Cs w:val="21"/>
        </w:rPr>
        <w:t>.2.4化学防治</w:t>
      </w:r>
    </w:p>
    <w:p w14:paraId="68CBD368">
      <w:pPr>
        <w:widowControl/>
        <w:spacing w:line="360" w:lineRule="auto"/>
        <w:ind w:firstLine="420" w:firstLineChars="200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使用的农药应在绿色食品生产允许使用的农药植保产品清单内，农药剂型宜选用环境友好型剂型, 提倡兼治和不同作用机理农药交替使用。农药使用方法应按照产品包装标签规定要求执行，严格控制用药量、施药次数和安全间隔期。具体防治措施和推荐用药见附录A。</w:t>
      </w:r>
    </w:p>
    <w:p w14:paraId="715B1E7B">
      <w:pPr>
        <w:spacing w:line="400" w:lineRule="exact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Cs w:val="21"/>
        </w:rPr>
        <w:t>.2.5</w:t>
      </w:r>
      <w:r>
        <w:rPr>
          <w:rFonts w:hint="default" w:ascii="Times New Roman" w:hAnsi="Times New Roman" w:eastAsia="黑体" w:cs="Times New Roman"/>
          <w:bCs/>
          <w:szCs w:val="21"/>
        </w:rPr>
        <w:t>草害防治</w:t>
      </w:r>
    </w:p>
    <w:p w14:paraId="01BD9C2E">
      <w:pPr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Cs w:val="21"/>
        </w:rPr>
        <w:t>.2.5.1</w:t>
      </w:r>
      <w:r>
        <w:rPr>
          <w:rFonts w:hint="default" w:ascii="Times New Roman" w:hAnsi="Times New Roman" w:cs="Times New Roman"/>
          <w:szCs w:val="21"/>
        </w:rPr>
        <w:t>对于茶园恶性杂草一般应在杂草结籽前采取人工或机械除草，至于一般杂草不必除净，保留一定数量的杂草有利于天敌栖息，调节茶园小气候，改善生态环境。</w:t>
      </w:r>
    </w:p>
    <w:p w14:paraId="63A1EBFE">
      <w:pPr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Cs w:val="21"/>
        </w:rPr>
        <w:t>.2.5.2</w:t>
      </w:r>
      <w:r>
        <w:rPr>
          <w:rFonts w:hint="default" w:ascii="Times New Roman" w:hAnsi="Times New Roman" w:cs="Times New Roman"/>
          <w:szCs w:val="21"/>
        </w:rPr>
        <w:t>必须使用化学方法清除杂草时，除草剂应在绿色食品允许使用的产品清单内。</w:t>
      </w:r>
    </w:p>
    <w:p w14:paraId="69C9861E">
      <w:pPr>
        <w:spacing w:line="4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Cs w:val="21"/>
        </w:rPr>
        <w:t>鲜叶采摘和装运</w:t>
      </w:r>
    </w:p>
    <w:p w14:paraId="24B4008E">
      <w:pPr>
        <w:spacing w:line="4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Cs w:val="21"/>
        </w:rPr>
        <w:t>.1鲜叶采摘</w:t>
      </w:r>
    </w:p>
    <w:p w14:paraId="20711111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kern w:val="2"/>
        </w:rPr>
        <w:t>.1.1</w:t>
      </w:r>
      <w:r>
        <w:rPr>
          <w:rFonts w:hint="default" w:ascii="Times New Roman" w:hAnsi="Times New Roman" w:cs="Times New Roman"/>
        </w:rPr>
        <w:t>根据茶树生长特性和红茶加工要求进行合理采摘。</w:t>
      </w:r>
    </w:p>
    <w:p w14:paraId="44476B07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kern w:val="2"/>
        </w:rPr>
        <w:t>.1.2</w:t>
      </w:r>
      <w:r>
        <w:rPr>
          <w:rFonts w:hint="default" w:ascii="Times New Roman" w:hAnsi="Times New Roman" w:cs="Times New Roman"/>
        </w:rPr>
        <w:t>鲜叶包括单芽、一芽一叶、一芽二叶、一芽三叶及</w:t>
      </w:r>
      <w:r>
        <w:rPr>
          <w:rFonts w:hint="default" w:ascii="Times New Roman" w:hAnsi="Times New Roman" w:eastAsia="宋体" w:cs="Times New Roman"/>
        </w:rPr>
        <w:t>同等嫩度的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color="auto" w:fill="auto"/>
        </w:rPr>
        <w:t>初展的新梢</w:t>
      </w:r>
      <w:r>
        <w:rPr>
          <w:rFonts w:hint="default" w:ascii="Times New Roman" w:hAnsi="Times New Roman" w:eastAsia="宋体" w:cs="Times New Roman"/>
        </w:rPr>
        <w:t>。</w:t>
      </w:r>
    </w:p>
    <w:p w14:paraId="7390D492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eastAsia="宋体" w:cs="Times New Roman"/>
          <w:spacing w:val="-6"/>
        </w:rPr>
      </w:pPr>
      <w:r>
        <w:rPr>
          <w:rFonts w:hint="default" w:ascii="Times New Roman" w:hAnsi="Times New Roman" w:eastAsia="宋体" w:cs="Times New Roman"/>
          <w:bCs/>
          <w:kern w:val="2"/>
        </w:rPr>
        <w:t>1</w:t>
      </w:r>
      <w:r>
        <w:rPr>
          <w:rFonts w:hint="eastAsia" w:ascii="Times New Roman" w:hAnsi="Times New Roman" w:eastAsia="宋体" w:cs="Times New Roman"/>
          <w:bCs/>
          <w:kern w:val="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2"/>
        </w:rPr>
        <w:t>.1.3</w:t>
      </w:r>
      <w:r>
        <w:rPr>
          <w:rFonts w:hint="default" w:ascii="Times New Roman" w:hAnsi="Times New Roman" w:eastAsia="宋体" w:cs="Times New Roman"/>
          <w:spacing w:val="-6"/>
        </w:rPr>
        <w:t>手工采摘要提手采，保持芽叶完整、新鲜、匀净，不带夹杂物。</w:t>
      </w:r>
    </w:p>
    <w:p w14:paraId="7E30CF9D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kern w:val="2"/>
        </w:rPr>
        <w:t>.1.4</w:t>
      </w:r>
      <w:r>
        <w:rPr>
          <w:rFonts w:hint="default" w:ascii="Times New Roman" w:hAnsi="Times New Roman" w:cs="Times New Roman"/>
        </w:rPr>
        <w:t>机采应保证采茶质量，保证无害化，防止污染。</w:t>
      </w:r>
    </w:p>
    <w:p w14:paraId="24E7DD8C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kern w:val="2"/>
        </w:rPr>
        <w:t>.1.5</w:t>
      </w:r>
      <w:r>
        <w:rPr>
          <w:rFonts w:hint="default" w:ascii="Times New Roman" w:hAnsi="Times New Roman" w:cs="Times New Roman"/>
        </w:rPr>
        <w:t>采用清洁、无污染、通透性好的盛具，装叶量以不影响品质为宜，并防止鲜叶质变和混入有异味、有毒、有害物质。</w:t>
      </w:r>
    </w:p>
    <w:p w14:paraId="378C10FB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1</w:t>
      </w:r>
      <w:r>
        <w:rPr>
          <w:rFonts w:hint="default" w:ascii="Times New Roman" w:hAnsi="Times New Roman" w:cs="Times New Roman"/>
          <w:spacing w:val="-6"/>
        </w:rPr>
        <w:t>.2鲜叶装运</w:t>
      </w:r>
    </w:p>
    <w:p w14:paraId="6B70F23A">
      <w:pPr>
        <w:pStyle w:val="27"/>
        <w:numPr>
          <w:ilvl w:val="0"/>
          <w:numId w:val="0"/>
        </w:numPr>
        <w:spacing w:before="0" w:beforeLines="0" w:after="0" w:afterLines="0" w:line="400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盛装鲜叶的器具，采用清洁、卫生、通风性好的竹编、网眼茶篮或篓筐。</w:t>
      </w:r>
      <w:r>
        <w:rPr>
          <w:rFonts w:hint="default" w:ascii="Times New Roman" w:hAnsi="Times New Roman" w:cs="Times New Roman"/>
          <w:bCs/>
          <w:kern w:val="2"/>
        </w:rPr>
        <w:t>鲜叶在运输过程中不应与有毒、有害物质接触，防治发生二次污染。</w:t>
      </w:r>
    </w:p>
    <w:p w14:paraId="73476C5C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产品加工</w:t>
      </w:r>
    </w:p>
    <w:p w14:paraId="00E140B9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eastAsia="黑体" w:cs="Times New Roman"/>
          <w:spacing w:val="-6"/>
        </w:rPr>
      </w:pPr>
      <w:r>
        <w:rPr>
          <w:rFonts w:hint="default" w:ascii="Times New Roman" w:hAnsi="Times New Roman" w:eastAsia="黑体" w:cs="Times New Roman"/>
          <w:spacing w:val="-6"/>
        </w:rPr>
        <w:t>1</w:t>
      </w:r>
      <w:r>
        <w:rPr>
          <w:rFonts w:hint="eastAsia" w:ascii="Times New Roman" w:hAnsi="Times New Roman" w:eastAsia="黑体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6"/>
        </w:rPr>
        <w:t>.1加工厂</w:t>
      </w:r>
    </w:p>
    <w:p w14:paraId="12D9E47A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2"/>
        </w:rPr>
        <w:t>.1.1加工厂</w:t>
      </w:r>
      <w:r>
        <w:rPr>
          <w:rFonts w:hint="default" w:ascii="Times New Roman" w:hAnsi="Times New Roman" w:cs="Times New Roman"/>
        </w:rPr>
        <w:t>环境应符合绿色食品NY/T 391的规定及国家相关规定要求。</w:t>
      </w:r>
    </w:p>
    <w:p w14:paraId="279DAA0B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2"/>
        </w:rPr>
        <w:t>.1.2</w:t>
      </w:r>
      <w:r>
        <w:rPr>
          <w:rFonts w:hint="default" w:ascii="Times New Roman" w:hAnsi="Times New Roman" w:cs="Times New Roman"/>
        </w:rPr>
        <w:t>加工区、生活区、办公区布局合理，并有隔离设施。</w:t>
      </w:r>
    </w:p>
    <w:p w14:paraId="61F8C768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2"/>
        </w:rPr>
        <w:t>.1.3</w:t>
      </w:r>
      <w:r>
        <w:rPr>
          <w:rFonts w:hint="default" w:ascii="Times New Roman" w:hAnsi="Times New Roman" w:cs="Times New Roman"/>
        </w:rPr>
        <w:t>厂区内环境应整洁、干净，道路应铺设硬质路面，排水系统通畅。</w:t>
      </w:r>
    </w:p>
    <w:p w14:paraId="3F27496B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2"/>
        </w:rPr>
        <w:t>.1.4</w:t>
      </w:r>
      <w:r>
        <w:rPr>
          <w:rFonts w:hint="default" w:ascii="Times New Roman" w:hAnsi="Times New Roman" w:cs="Times New Roman"/>
        </w:rPr>
        <w:t>应有与加工产品规模相适应的厂房、生产设备及配套设施。</w:t>
      </w:r>
    </w:p>
    <w:p w14:paraId="5918B857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highlight w:val="none"/>
          <w:u w:val="none"/>
        </w:rPr>
      </w:pPr>
      <w:r>
        <w:rPr>
          <w:rFonts w:hint="default" w:ascii="Times New Roman" w:hAnsi="Times New Roman" w:cs="Times New Roman"/>
          <w:bCs/>
          <w:kern w:val="2"/>
          <w:highlight w:val="none"/>
          <w:u w:val="none"/>
        </w:rPr>
        <w:t>1</w:t>
      </w:r>
      <w:r>
        <w:rPr>
          <w:rFonts w:hint="eastAsia" w:ascii="Times New Roman" w:hAnsi="Times New Roman" w:cs="Times New Roman"/>
          <w:bCs/>
          <w:kern w:val="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2"/>
          <w:highlight w:val="none"/>
          <w:u w:val="none"/>
        </w:rPr>
        <w:t>.1.5加</w:t>
      </w:r>
      <w:r>
        <w:rPr>
          <w:rFonts w:hint="default" w:ascii="Times New Roman" w:hAnsi="Times New Roman" w:cs="Times New Roman"/>
          <w:highlight w:val="none"/>
          <w:u w:val="none"/>
        </w:rPr>
        <w:t>工车间根据加工工艺流程合理设置，进入车间应通过缓冲间进行消毒更衣。车间地面</w:t>
      </w:r>
      <w:r>
        <w:rPr>
          <w:rFonts w:hint="default" w:ascii="Times New Roman" w:hAnsi="Times New Roman" w:cs="Times New Roman"/>
          <w:highlight w:val="none"/>
          <w:u w:val="none"/>
        </w:rPr>
        <w:t>应使用无毒、无裂隙且易于清洗消毒的建筑材料铺砌(如耐酸砖、水磨石、混疑土、厚浆型自流平环氧地坪涂料等)</w:t>
      </w:r>
      <w:r>
        <w:rPr>
          <w:rFonts w:hint="default" w:ascii="Times New Roman" w:hAnsi="Times New Roman" w:cs="Times New Roman"/>
          <w:highlight w:val="none"/>
          <w:u w:val="none"/>
          <w:lang w:eastAsia="zh-CN"/>
        </w:rPr>
        <w:t>，墙面应采用无毒、防霉、平滑、易清洗的浅色材料;在操作高度范围内的墙面应光滑、不易积累污垢且易于清洁。</w:t>
      </w:r>
      <w:r>
        <w:rPr>
          <w:rFonts w:hint="default" w:ascii="Times New Roman" w:hAnsi="Times New Roman" w:cs="Times New Roman"/>
          <w:highlight w:val="none"/>
          <w:u w:val="none"/>
          <w:lang w:val="en-US" w:eastAsia="zh-CN"/>
        </w:rPr>
        <w:t>屋顶和天花板</w:t>
      </w:r>
      <w:r>
        <w:rPr>
          <w:rFonts w:hint="default" w:ascii="Times New Roman" w:hAnsi="Times New Roman" w:cs="Times New Roman"/>
          <w:highlight w:val="none"/>
          <w:u w:val="none"/>
        </w:rPr>
        <w:t>应选用表面光洁、无毒、防霉、耐腐蚀、易清洁的浅色材料覆涂或装修，在结构上减少凝结水滴落，便于洗刷和消毒。</w:t>
      </w:r>
      <w:r>
        <w:rPr>
          <w:rFonts w:hint="default" w:ascii="Times New Roman" w:hAnsi="Times New Roman" w:cs="Times New Roman"/>
          <w:highlight w:val="none"/>
          <w:u w:val="none"/>
        </w:rPr>
        <w:t>大门、窗户应有防鼠、虫、蝇设施，车间内应安装杀菌紫外线灯。</w:t>
      </w:r>
    </w:p>
    <w:p w14:paraId="4A341CDC">
      <w:pPr>
        <w:pStyle w:val="27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2"/>
        </w:rPr>
        <w:t>1</w:t>
      </w:r>
      <w:r>
        <w:rPr>
          <w:rFonts w:hint="eastAsia" w:ascii="Times New Roman" w:hAnsi="Times New Roman" w:cs="Times New Roman"/>
          <w:bCs/>
          <w:kern w:val="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kern w:val="2"/>
        </w:rPr>
        <w:t>.1.5</w:t>
      </w:r>
      <w:r>
        <w:rPr>
          <w:rFonts w:hint="default" w:ascii="Times New Roman" w:hAnsi="Times New Roman" w:cs="Times New Roman"/>
        </w:rPr>
        <w:t>工作人员应持证上岗。锅炉工、电工、产品化验室人员应获得国家相关资质认可后才能上岗，加工人员应取得健康证后才能上岗。</w:t>
      </w:r>
    </w:p>
    <w:p w14:paraId="0E57ED0A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.2.加工工艺</w:t>
      </w:r>
    </w:p>
    <w:p w14:paraId="58562073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.2.1工夫红茶工艺</w:t>
      </w:r>
    </w:p>
    <w:p w14:paraId="23B8EB93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初制：按萎凋、揉捻、发酵、干燥、毛茶、检验、称量、包装、入库顺序加工。</w:t>
      </w:r>
    </w:p>
    <w:p w14:paraId="4388189D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精制：按毛茶、毛茶拼配辅付制、筛制、风选、拣剔、检验、成品拼配、匀堆、补火、称量、包装、检验、入库顺序加工。</w:t>
      </w:r>
    </w:p>
    <w:p w14:paraId="4A1878C4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.2.2红碎茶工艺</w:t>
      </w:r>
    </w:p>
    <w:p w14:paraId="5C62C51D">
      <w:pPr>
        <w:pStyle w:val="20"/>
        <w:spacing w:line="400" w:lineRule="exact"/>
        <w:ind w:firstLine="315" w:firstLineChars="15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按萎凋、揉切、发酵、干燥</w:t>
      </w:r>
      <w:bookmarkStart w:id="1" w:name="_Toc260782801"/>
      <w:bookmarkEnd w:id="1"/>
      <w:r>
        <w:rPr>
          <w:rFonts w:hint="default" w:ascii="Times New Roman" w:hAnsi="Times New Roman" w:cs="Times New Roman"/>
          <w:szCs w:val="21"/>
        </w:rPr>
        <w:t>、拣梗、筛分、成品拼配、匀堆、补火、称量、包装、检验、入库顺序加工。</w:t>
      </w:r>
    </w:p>
    <w:p w14:paraId="49C902FF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2" w:name="_Toc488676624"/>
      <w:bookmarkStart w:id="3" w:name="_Toc488676488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</w:t>
      </w:r>
      <w:bookmarkEnd w:id="2"/>
      <w:bookmarkEnd w:id="3"/>
      <w:r>
        <w:rPr>
          <w:rFonts w:hint="default" w:ascii="Times New Roman" w:hAnsi="Times New Roman" w:cs="Times New Roman"/>
          <w:spacing w:val="-6"/>
        </w:rPr>
        <w:t>加工技术要求</w:t>
      </w:r>
    </w:p>
    <w:p w14:paraId="2DB69797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.3.1萎凋</w:t>
      </w:r>
    </w:p>
    <w:p w14:paraId="23CC6D53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.3.1.1萎凋槽萎凋</w:t>
      </w:r>
    </w:p>
    <w:p w14:paraId="642DEB42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.3.1.1.1</w:t>
      </w:r>
      <w:r>
        <w:rPr>
          <w:rFonts w:hint="default" w:ascii="Times New Roman" w:hAnsi="Times New Roman" w:cs="Times New Roman"/>
        </w:rPr>
        <w:t>摊叶。将鲜叶摊放在萎凋槽中。嫩叶、雨水叶和露水叶薄摊，摊叶厚度一般在10 cm～15 cm。老叶厚摊，摊叶厚度一般在15cm～20cm。摊叶时要抖散摊平呈蓬松状态，保持厚薄一致。</w:t>
      </w:r>
    </w:p>
    <w:p w14:paraId="3401F960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.3.1.1.2</w:t>
      </w:r>
      <w:r>
        <w:rPr>
          <w:rFonts w:hint="default" w:ascii="Times New Roman" w:hAnsi="Times New Roman" w:cs="Times New Roman"/>
        </w:rPr>
        <w:t>温度、湿度。温度宜为20 ℃～30 ℃，湿度以（70±5）%为宜。槽体前后部温度相对一致，鼓风机气流温度应随萎凋进程逐渐降低。</w:t>
      </w:r>
    </w:p>
    <w:p w14:paraId="1F3D0794">
      <w:pPr>
        <w:pStyle w:val="29"/>
        <w:widowControl w:val="0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.3.1.1.3</w:t>
      </w:r>
      <w:r>
        <w:rPr>
          <w:rFonts w:hint="default" w:ascii="Times New Roman" w:hAnsi="Times New Roman" w:cs="Times New Roman"/>
        </w:rPr>
        <w:t>鼓风要求。风量大小根据叶层厚薄和叶质柔软程度适当调节，以不吹散叶层、不出现空洞为标准。下叶前10min～15 min停止鼓热风，改为鼓冷风。</w:t>
      </w:r>
    </w:p>
    <w:p w14:paraId="60895DA4">
      <w:pPr>
        <w:pStyle w:val="29"/>
        <w:widowControl w:val="0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.3.1.1.4</w:t>
      </w:r>
      <w:r>
        <w:rPr>
          <w:rFonts w:hint="default" w:ascii="Times New Roman" w:hAnsi="Times New Roman" w:cs="Times New Roman"/>
        </w:rPr>
        <w:t>翻抖。鼓风60 min后停风10 min，然后进行翻抖，含水量高的30 min翻一次。手势要轻，避免损伤芽叶。</w:t>
      </w:r>
    </w:p>
    <w:p w14:paraId="73A85914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.3.1.1.5</w:t>
      </w:r>
      <w:r>
        <w:rPr>
          <w:rFonts w:hint="default" w:ascii="Times New Roman" w:hAnsi="Times New Roman" w:cs="Times New Roman"/>
        </w:rPr>
        <w:t>萎凋时间。6 h～8 h。</w:t>
      </w:r>
    </w:p>
    <w:p w14:paraId="41F43534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.3.1.1.6</w:t>
      </w:r>
      <w:r>
        <w:rPr>
          <w:rFonts w:hint="default" w:ascii="Times New Roman" w:hAnsi="Times New Roman" w:cs="Times New Roman"/>
        </w:rPr>
        <w:t>萎凋程度。加工工夫红茶萎凋叶含水率控制在(60±1)%为宜，加工红碎茶萎凋叶含水率控制在(68±1)%为宜。感官特征为叶面失去光泽，叶色暗绿，青草气减退，叶形皱缩，叶质柔软，紧握成团，松手可缓慢松散。</w:t>
      </w:r>
    </w:p>
    <w:p w14:paraId="618B7B70">
      <w:pPr>
        <w:pStyle w:val="28"/>
        <w:numPr>
          <w:ilvl w:val="3"/>
          <w:numId w:val="0"/>
        </w:numPr>
        <w:tabs>
          <w:tab w:val="left" w:pos="995"/>
        </w:tabs>
        <w:spacing w:before="0" w:beforeLines="0" w:after="0" w:afterLines="0" w:line="400" w:lineRule="exac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</w:rPr>
        <w:t>.3.1.2自然萎凋</w:t>
      </w:r>
    </w:p>
    <w:p w14:paraId="0F00CDC3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.3.1.2.1</w:t>
      </w:r>
      <w:r>
        <w:rPr>
          <w:rFonts w:hint="default" w:ascii="Times New Roman" w:hAnsi="Times New Roman" w:cs="Times New Roman"/>
        </w:rPr>
        <w:t>摊叶。摊叶厚度3 cm～5 cm，嫩叶、雨水叶和露水叶薄摊，老叶厚摊。摊叶时要抖散摊平呈蓬松状态，保持厚薄一致。</w:t>
      </w:r>
    </w:p>
    <w:p w14:paraId="3B7938E9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.3.1.2.2</w:t>
      </w:r>
      <w:r>
        <w:rPr>
          <w:rFonts w:hint="default" w:ascii="Times New Roman" w:hAnsi="Times New Roman" w:cs="Times New Roman"/>
        </w:rPr>
        <w:t>萎凋时间。8 h～16 h。</w:t>
      </w:r>
    </w:p>
    <w:p w14:paraId="4558A9A2">
      <w:pPr>
        <w:pStyle w:val="29"/>
        <w:numPr>
          <w:ilvl w:val="4"/>
          <w:numId w:val="0"/>
        </w:numPr>
        <w:tabs>
          <w:tab w:val="left" w:pos="1160"/>
        </w:tabs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.3.1.2.3</w:t>
      </w:r>
      <w:r>
        <w:rPr>
          <w:rFonts w:hint="default" w:ascii="Times New Roman" w:hAnsi="Times New Roman" w:cs="Times New Roman"/>
        </w:rPr>
        <w:t>萎凋程度。同萎凋槽萎凋。</w:t>
      </w:r>
    </w:p>
    <w:p w14:paraId="0D4B7AAF">
      <w:pPr>
        <w:pStyle w:val="28"/>
        <w:numPr>
          <w:ilvl w:val="3"/>
          <w:numId w:val="0"/>
        </w:numPr>
        <w:spacing w:before="0" w:beforeLines="0" w:after="0" w:afterLines="0" w:line="400" w:lineRule="exact"/>
        <w:rPr>
          <w:rFonts w:hint="default" w:ascii="Times New Roman" w:hAnsi="Times New Roman" w:eastAsia="宋体" w:cs="Times New Roman"/>
          <w:b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</w:rPr>
        <w:t>.3.1.3日光萎凋</w:t>
      </w:r>
    </w:p>
    <w:p w14:paraId="43517189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.3.1.3.1</w:t>
      </w:r>
      <w:r>
        <w:rPr>
          <w:rFonts w:hint="default" w:ascii="Times New Roman" w:hAnsi="Times New Roman" w:cs="Times New Roman"/>
        </w:rPr>
        <w:t>避免阳光直射，在下午三点后进行。</w:t>
      </w:r>
    </w:p>
    <w:p w14:paraId="27A5D6FF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spacing w:val="-10"/>
        </w:rPr>
        <w:t>1</w:t>
      </w:r>
      <w:r>
        <w:rPr>
          <w:rFonts w:hint="eastAsia" w:ascii="Times New Roman" w:hAnsi="Times New Roman" w:cs="Times New Roman"/>
          <w:bCs/>
          <w:spacing w:val="-10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pacing w:val="-10"/>
        </w:rPr>
        <w:t>.3.1.3.2</w:t>
      </w:r>
      <w:r>
        <w:rPr>
          <w:rFonts w:hint="default" w:ascii="Times New Roman" w:hAnsi="Times New Roman" w:cs="Times New Roman"/>
          <w:spacing w:val="-10"/>
        </w:rPr>
        <w:t>萎凋过程应在竹篾、簸箕上进行，避免与地面直接接触</w:t>
      </w:r>
      <w:r>
        <w:rPr>
          <w:rFonts w:hint="default" w:ascii="Times New Roman" w:hAnsi="Times New Roman" w:cs="Times New Roman"/>
        </w:rPr>
        <w:t>。</w:t>
      </w:r>
    </w:p>
    <w:p w14:paraId="6F496813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.3.1.3.3</w:t>
      </w:r>
      <w:r>
        <w:rPr>
          <w:rFonts w:hint="default" w:ascii="Times New Roman" w:hAnsi="Times New Roman" w:cs="Times New Roman"/>
        </w:rPr>
        <w:t>摊叶时叶片基本不重叠。萎凋达一定程度，移至阴凉处摊凉散热，反复进行，直至萎凋适度。</w:t>
      </w:r>
    </w:p>
    <w:p w14:paraId="45DC04AC">
      <w:pPr>
        <w:pStyle w:val="29"/>
        <w:numPr>
          <w:ilvl w:val="4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.3.1.3.4</w:t>
      </w:r>
      <w:r>
        <w:rPr>
          <w:rFonts w:hint="default" w:ascii="Times New Roman" w:hAnsi="Times New Roman" w:cs="Times New Roman"/>
        </w:rPr>
        <w:t>萎凋程度。同萎凋槽萎凋。</w:t>
      </w:r>
    </w:p>
    <w:p w14:paraId="6A3EEB8B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.3.2揉捻</w:t>
      </w:r>
    </w:p>
    <w:p w14:paraId="19BE79D1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装叶量以自然装满揉桶为准。加压由轻到重，再由重到轻。解块后的筛面茶条索不够紧结的可进行复揉，复揉投叶量以揉桶的2/3为准。以揉捻叶细胞破损率80%以上，茶条紧卷，有少量茶汁外溢粘附于茶条表面为揉捻适度。</w:t>
      </w:r>
    </w:p>
    <w:p w14:paraId="5461E181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.3.3揉切(红碎茶)</w:t>
      </w:r>
    </w:p>
    <w:p w14:paraId="1AED7D68">
      <w:pPr>
        <w:pStyle w:val="22"/>
        <w:numPr>
          <w:ilvl w:val="2"/>
          <w:numId w:val="0"/>
        </w:numPr>
        <w:spacing w:before="0" w:beforeLines="0" w:after="0" w:afterLines="0" w:line="400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常温下快速揉切，茶叶颗粒外形紧结重实，细碎率在98%以上。</w:t>
      </w:r>
    </w:p>
    <w:p w14:paraId="2EAF6BF5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.3.4发酵</w:t>
      </w:r>
    </w:p>
    <w:p w14:paraId="74EDDBFE">
      <w:pPr>
        <w:pStyle w:val="31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.3.4.1</w:t>
      </w:r>
      <w:r>
        <w:rPr>
          <w:rFonts w:hint="default" w:ascii="Times New Roman" w:hAnsi="Times New Roman" w:cs="Times New Roman"/>
        </w:rPr>
        <w:t>在常温下进行发酵，发酵车间相对湿度在80% 以上，保持空气流通。</w:t>
      </w:r>
    </w:p>
    <w:p w14:paraId="3CF061BB">
      <w:pPr>
        <w:pStyle w:val="31"/>
        <w:numPr>
          <w:ilvl w:val="0"/>
          <w:numId w:val="0"/>
        </w:numPr>
        <w:tabs>
          <w:tab w:val="left" w:pos="1025"/>
        </w:tabs>
        <w:spacing w:before="0" w:beforeLines="0" w:after="0" w:afterLines="0" w:line="400" w:lineRule="exact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.3.4.2</w:t>
      </w:r>
      <w:r>
        <w:rPr>
          <w:rFonts w:hint="default" w:ascii="Times New Roman" w:hAnsi="Times New Roman" w:cs="Times New Roman"/>
        </w:rPr>
        <w:t>发酵叶象分为六级，详见下表。</w:t>
      </w:r>
    </w:p>
    <w:p w14:paraId="51E10BC1">
      <w:pPr>
        <w:pStyle w:val="31"/>
        <w:numPr>
          <w:ilvl w:val="0"/>
          <w:numId w:val="0"/>
        </w:numPr>
        <w:tabs>
          <w:tab w:val="left" w:pos="1025"/>
        </w:tabs>
        <w:spacing w:before="0" w:beforeLines="0" w:after="0" w:afterLines="0" w:line="400" w:lineRule="exact"/>
        <w:ind w:firstLine="420" w:firstLineChars="2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红茶发酵叶象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503"/>
      </w:tblGrid>
      <w:tr w14:paraId="5857D6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734928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项         目</w:t>
            </w:r>
          </w:p>
        </w:tc>
        <w:tc>
          <w:tcPr>
            <w:tcW w:w="45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CC684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要              求</w:t>
            </w:r>
          </w:p>
        </w:tc>
      </w:tr>
      <w:tr w14:paraId="365E2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6F55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叶象Ⅰ</w:t>
            </w:r>
          </w:p>
        </w:tc>
        <w:tc>
          <w:tcPr>
            <w:tcW w:w="45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F0F024">
            <w:pPr>
              <w:spacing w:line="4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青色，浓烈青草气</w:t>
            </w:r>
          </w:p>
        </w:tc>
      </w:tr>
      <w:tr w14:paraId="40FBB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DF87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叶象Ⅱ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2CD65B">
            <w:pPr>
              <w:spacing w:line="4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青黄色，有青草气</w:t>
            </w:r>
          </w:p>
        </w:tc>
      </w:tr>
      <w:tr w14:paraId="281FA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C026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叶象Ⅲ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3DC742">
            <w:pPr>
              <w:spacing w:line="4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黄色，微清香</w:t>
            </w:r>
          </w:p>
        </w:tc>
      </w:tr>
      <w:tr w14:paraId="25AD5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8173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叶象Ⅳ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9A0BFF">
            <w:pPr>
              <w:spacing w:line="4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黄红色，花果香、果香明显</w:t>
            </w:r>
          </w:p>
        </w:tc>
      </w:tr>
      <w:tr w14:paraId="759D6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D52E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叶象Ⅴ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F20F3D">
            <w:pPr>
              <w:spacing w:line="4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红色，熟香</w:t>
            </w:r>
          </w:p>
        </w:tc>
      </w:tr>
      <w:tr w14:paraId="0AE98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7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72D4A5">
            <w:pPr>
              <w:spacing w:line="4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叶象Ⅵ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EE312">
            <w:pPr>
              <w:spacing w:line="4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暗红色，低香，发酵过度</w:t>
            </w:r>
          </w:p>
        </w:tc>
      </w:tr>
    </w:tbl>
    <w:p w14:paraId="222929AC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.3.4.3发酵程度。</w:t>
      </w:r>
    </w:p>
    <w:p w14:paraId="1925D01A">
      <w:pPr>
        <w:pStyle w:val="31"/>
        <w:numPr>
          <w:ilvl w:val="0"/>
          <w:numId w:val="0"/>
        </w:numPr>
        <w:spacing w:before="0" w:beforeLines="0" w:after="0" w:afterLines="0" w:line="400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以发酵叶青草气消失，出现花果香味，叶色黄红，发酵叶象达到叶象Ⅲ</w:t>
      </w:r>
      <w:r>
        <w:rPr>
          <w:rFonts w:hint="default" w:ascii="Times New Roman" w:hAnsi="Times New Roman" w:eastAsia="MS Mincho" w:cs="Times New Roman"/>
          <w:b/>
        </w:rPr>
        <w:t>～</w:t>
      </w:r>
      <w:r>
        <w:rPr>
          <w:rFonts w:hint="default" w:ascii="Times New Roman" w:hAnsi="Times New Roman" w:cs="Times New Roman"/>
        </w:rPr>
        <w:t>Ⅳ级为发酵适度。</w:t>
      </w:r>
    </w:p>
    <w:p w14:paraId="77BA06BE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4" w:name="_Toc488676489"/>
      <w:bookmarkStart w:id="5" w:name="_Toc488676625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.3.5干燥</w:t>
      </w:r>
      <w:bookmarkEnd w:id="4"/>
      <w:bookmarkEnd w:id="5"/>
      <w:r>
        <w:rPr>
          <w:rFonts w:ascii="Times New Roman" w:hAnsi="Times New Roman" w:cs="Times New Roman"/>
          <w:spacing w:val="-6"/>
        </w:rPr>
        <w:tab/>
      </w:r>
    </w:p>
    <w:p w14:paraId="56C84883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13.3.5.1干燥方式</w:t>
      </w:r>
    </w:p>
    <w:p w14:paraId="3BDFAA00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干燥方式有热风干燥、微波干燥和冷冻干燥等类型。热风干燥分毛火干燥和足火干燥。</w:t>
      </w:r>
    </w:p>
    <w:p w14:paraId="3433700D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.3.5.2干燥程度</w:t>
      </w:r>
    </w:p>
    <w:p w14:paraId="623A8DA9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毛火干燥：至茶付坯7～8成干，含水量30%左右，及时摊凉。</w:t>
      </w:r>
    </w:p>
    <w:p w14:paraId="3032EADF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足火干燥：至茶坯含水量7%以内，用手指轻捏茶条即成粉末时，下机摊晾，散热后盛装入库。</w:t>
      </w:r>
    </w:p>
    <w:p w14:paraId="266A9513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6" w:name="_Toc488676490"/>
      <w:bookmarkStart w:id="7" w:name="_Toc488676626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.3.6毛茶拼配辅制</w:t>
      </w:r>
      <w:bookmarkEnd w:id="6"/>
      <w:bookmarkEnd w:id="7"/>
    </w:p>
    <w:p w14:paraId="0044D12A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按品质类型分别搭配，同一批辅制毛茶外形内质基本趋于一致。毛茶拼配应遵循外形相近、内质相符、品质稳定的原则，综合考虑标准样、待拼茶品质特点及数量拼配辅付制。</w:t>
      </w:r>
    </w:p>
    <w:p w14:paraId="6E5B6862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8" w:name="_Toc488676491"/>
      <w:bookmarkStart w:id="9" w:name="_Toc488676627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.3.7筛制</w:t>
      </w:r>
      <w:bookmarkEnd w:id="8"/>
      <w:bookmarkEnd w:id="9"/>
    </w:p>
    <w:p w14:paraId="7D894819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筛制是毛茶加工的主要作业，目的是整理茶叶形状，分离茶叶大小、长短、轻重、粗细等，以达到外形一致。主要通过平园筛、抖筛、风选等来完成。</w:t>
      </w:r>
    </w:p>
    <w:p w14:paraId="6902921B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10" w:name="_Toc488676492"/>
      <w:bookmarkStart w:id="11" w:name="_Toc488676628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.3.8拣剔</w:t>
      </w:r>
      <w:bookmarkEnd w:id="10"/>
      <w:bookmarkEnd w:id="11"/>
    </w:p>
    <w:p w14:paraId="7300FD62">
      <w:pPr>
        <w:pStyle w:val="23"/>
        <w:numPr>
          <w:ilvl w:val="0"/>
          <w:numId w:val="0"/>
        </w:numPr>
        <w:spacing w:before="0" w:beforeLines="0" w:after="0" w:afterLines="0" w:line="400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毛茶先经过筛分、风选或色选，使茶坯基本上均匀一致，然后再进行拣剔作业。拣除茶籽、蒂头、茶梗等不符合成品茶要求的茶类、非茶类杂物。</w:t>
      </w:r>
    </w:p>
    <w:p w14:paraId="3780D155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12" w:name="_Toc488676493"/>
      <w:bookmarkStart w:id="13" w:name="_Toc488676629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.3.9成品拼配</w:t>
      </w:r>
      <w:bookmarkEnd w:id="12"/>
      <w:bookmarkEnd w:id="13"/>
    </w:p>
    <w:p w14:paraId="3121307C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根据各花色等级的质量要求，将各类半成品合理拼合，组合成各花色等级的成品茶。</w:t>
      </w:r>
    </w:p>
    <w:p w14:paraId="23C35FAE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bookmarkStart w:id="14" w:name="_Toc488676630"/>
      <w:bookmarkStart w:id="15" w:name="_Toc488676494"/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</w:rPr>
        <w:t>.3.10补火</w:t>
      </w:r>
      <w:bookmarkEnd w:id="14"/>
      <w:bookmarkEnd w:id="15"/>
    </w:p>
    <w:p w14:paraId="6D1BA9DA">
      <w:pPr>
        <w:pStyle w:val="20"/>
        <w:spacing w:line="4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采用烘干机进行补火，以提高茶叶香气和耐储存性。保证茶叶含水率达标。</w:t>
      </w:r>
    </w:p>
    <w:p w14:paraId="3EB7F05B">
      <w:pPr>
        <w:spacing w:line="4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Cs w:val="21"/>
        </w:rPr>
        <w:t>生产废弃物的处理</w:t>
      </w:r>
    </w:p>
    <w:p w14:paraId="6A087DEC">
      <w:pPr>
        <w:spacing w:line="400" w:lineRule="exact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茶园中的自然落叶和修剪的废弃枝叶可就地覆盖于茶树根部，量大时，经粉碎、堆沤后，作为有机肥还园或带出园外进行无害化处理。地膜、肥料袋进行回收再利用。农药包装袋统一集中在远离水源的地点深埋。</w:t>
      </w:r>
    </w:p>
    <w:p w14:paraId="7A854B03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eastAsia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14 包装</w:t>
      </w:r>
      <w:r>
        <w:rPr>
          <w:rFonts w:hint="eastAsia" w:ascii="Times New Roman" w:hAnsi="Times New Roman" w:cs="Times New Roman"/>
          <w:spacing w:val="-6"/>
          <w:lang w:eastAsia="zh-CN"/>
        </w:rPr>
        <w:t>、储藏和运输</w:t>
      </w:r>
    </w:p>
    <w:p w14:paraId="0CA33096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eastAsia" w:ascii="Times New Roman" w:hAnsi="Times New Roman" w:eastAsia="黑体" w:cs="Times New Roman"/>
          <w:spacing w:val="-6"/>
          <w:lang w:eastAsia="zh-CN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cs="Times New Roman"/>
          <w:spacing w:val="-6"/>
        </w:rPr>
        <w:t>.1</w:t>
      </w:r>
      <w:r>
        <w:rPr>
          <w:rFonts w:hint="eastAsia" w:ascii="Times New Roman" w:hAnsi="Times New Roman" w:cs="Times New Roman"/>
          <w:spacing w:val="-6"/>
          <w:lang w:eastAsia="zh-CN"/>
        </w:rPr>
        <w:t>包装</w:t>
      </w:r>
    </w:p>
    <w:p w14:paraId="50A59328">
      <w:pPr>
        <w:pStyle w:val="20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zCs w:val="21"/>
        </w:rPr>
        <w:t>包装应符合NY/T 685的规定。不准使用聚氯乙烯、聚苯乙烯材料包装茶叶，不准使用盛装过其他物品的食品袋包装茶叶。重复包装茶叶的布袋使用前应清洗干净。</w:t>
      </w:r>
      <w:r>
        <w:rPr>
          <w:rFonts w:hint="default" w:ascii="Times New Roman" w:hAnsi="Times New Roman" w:cs="Times New Roman"/>
          <w:bCs/>
          <w:szCs w:val="21"/>
        </w:rPr>
        <w:t>产品包装标识应符合GB 7718标准要求，绿色食品标志使用应规范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。</w:t>
      </w:r>
    </w:p>
    <w:p w14:paraId="08CE82DD">
      <w:pPr>
        <w:pStyle w:val="23"/>
        <w:numPr>
          <w:ilvl w:val="0"/>
          <w:numId w:val="0"/>
        </w:numPr>
        <w:spacing w:before="0" w:beforeLines="0" w:after="0" w:afterLines="0" w:line="400" w:lineRule="exact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cs="Times New Roman"/>
          <w:spacing w:val="-6"/>
        </w:rPr>
        <w:t>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2</w:t>
      </w:r>
      <w:r>
        <w:rPr>
          <w:rFonts w:hint="default" w:ascii="Times New Roman" w:hAnsi="Times New Roman" w:cs="Times New Roman"/>
          <w:spacing w:val="-6"/>
          <w:lang w:eastAsia="zh-CN"/>
        </w:rPr>
        <w:t>储</w:t>
      </w:r>
      <w:r>
        <w:rPr>
          <w:rFonts w:hint="default" w:ascii="Times New Roman" w:hAnsi="Times New Roman" w:cs="Times New Roman"/>
          <w:spacing w:val="-6"/>
        </w:rPr>
        <w:t>藏</w:t>
      </w:r>
    </w:p>
    <w:p w14:paraId="53F6FEBB">
      <w:pPr>
        <w:widowControl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Cs/>
        </w:rPr>
        <w:t>.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 xml:space="preserve">.1 </w:t>
      </w:r>
      <w:r>
        <w:rPr>
          <w:rFonts w:hint="default" w:ascii="Times New Roman" w:hAnsi="Times New Roman" w:cs="Times New Roman"/>
          <w:bCs/>
          <w:lang w:eastAsia="zh-CN"/>
        </w:rPr>
        <w:t>储</w:t>
      </w:r>
      <w:r>
        <w:rPr>
          <w:rFonts w:hint="default" w:ascii="Times New Roman" w:hAnsi="Times New Roman" w:cs="Times New Roman"/>
          <w:bCs/>
        </w:rPr>
        <w:t>藏仓库要具备防</w:t>
      </w:r>
      <w:r>
        <w:rPr>
          <w:rFonts w:hint="default" w:ascii="Times New Roman" w:hAnsi="Times New Roman" w:cs="Times New Roman"/>
          <w:kern w:val="0"/>
          <w:szCs w:val="21"/>
        </w:rPr>
        <w:t>鼠、防虫、防蝇、防尘、防潮功能，有适度流通的空气，温度以当地环境为主的正常室温，不能被太阳照射。</w:t>
      </w:r>
    </w:p>
    <w:p w14:paraId="0A2E8E52">
      <w:pPr>
        <w:widowControl/>
        <w:jc w:val="left"/>
        <w:rPr>
          <w:rFonts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Cs/>
        </w:rPr>
        <w:t>.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 xml:space="preserve">.2 </w:t>
      </w:r>
      <w:r>
        <w:rPr>
          <w:rFonts w:hint="default" w:ascii="Times New Roman" w:hAnsi="Times New Roman" w:cs="Times New Roman"/>
          <w:color w:val="000000"/>
          <w:kern w:val="36"/>
          <w:szCs w:val="21"/>
        </w:rPr>
        <w:t>建立出入库管理制度，经检验合格的产品才能入库，入库的产品要单独堆放，与常规产品进行区分。严禁与有毒、有害、有腐蚀性、发潮、有异味的物品混存。</w:t>
      </w:r>
    </w:p>
    <w:p w14:paraId="6855B715">
      <w:pPr>
        <w:widowControl/>
        <w:jc w:val="left"/>
        <w:rPr>
          <w:rFonts w:ascii="Times New Roman" w:hAnsi="Times New Roman" w:cs="Times New Roman"/>
          <w:color w:val="000000"/>
          <w:kern w:val="36"/>
          <w:szCs w:val="21"/>
        </w:rPr>
      </w:pPr>
      <w:r>
        <w:rPr>
          <w:rFonts w:hint="default" w:ascii="Times New Roman" w:hAnsi="Times New Roman" w:cs="Times New Roman"/>
          <w:bCs/>
        </w:rPr>
        <w:t>1</w:t>
      </w:r>
      <w:r>
        <w:rPr>
          <w:rFonts w:hint="eastAsia" w:ascii="Times New Roman" w:hAnsi="Times New Roman" w:cs="Times New Roman"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Cs/>
        </w:rPr>
        <w:t>.</w:t>
      </w:r>
      <w:r>
        <w:rPr>
          <w:rFonts w:hint="eastAsia" w:ascii="Times New Roman" w:hAnsi="Times New Roman" w:cs="Times New Roman"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Cs/>
        </w:rPr>
        <w:t>.3</w:t>
      </w:r>
      <w:r>
        <w:rPr>
          <w:rFonts w:hint="default" w:ascii="Times New Roman" w:hAnsi="Times New Roman" w:cs="Times New Roman"/>
          <w:color w:val="000000"/>
          <w:kern w:val="36"/>
          <w:szCs w:val="21"/>
        </w:rPr>
        <w:t>仓库消毒、杀虫处理所用药剂，应符合</w:t>
      </w:r>
      <w:r>
        <w:rPr>
          <w:rFonts w:ascii="Times New Roman" w:hAnsi="Times New Roman" w:cs="Times New Roman"/>
          <w:color w:val="000000"/>
          <w:kern w:val="36"/>
          <w:szCs w:val="21"/>
        </w:rPr>
        <w:t>NY/T</w:t>
      </w:r>
      <w:r>
        <w:rPr>
          <w:rFonts w:hint="default" w:ascii="Times New Roman" w:hAnsi="Times New Roman" w:cs="Times New Roman"/>
          <w:color w:val="000000"/>
          <w:kern w:val="36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36"/>
          <w:szCs w:val="21"/>
        </w:rPr>
        <w:t>393</w:t>
      </w:r>
      <w:r>
        <w:rPr>
          <w:rFonts w:hint="default" w:ascii="Times New Roman" w:hAnsi="Times New Roman" w:cs="Times New Roman"/>
          <w:color w:val="000000"/>
          <w:kern w:val="36"/>
          <w:szCs w:val="21"/>
        </w:rPr>
        <w:t>和</w:t>
      </w:r>
      <w:r>
        <w:rPr>
          <w:rFonts w:ascii="Times New Roman" w:hAnsi="Times New Roman" w:cs="Times New Roman"/>
          <w:color w:val="000000"/>
          <w:kern w:val="36"/>
          <w:szCs w:val="21"/>
        </w:rPr>
        <w:t>NY/T</w:t>
      </w:r>
      <w:r>
        <w:rPr>
          <w:rFonts w:hint="default" w:ascii="Times New Roman" w:hAnsi="Times New Roman" w:cs="Times New Roman"/>
          <w:color w:val="000000"/>
          <w:kern w:val="36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36"/>
          <w:szCs w:val="21"/>
        </w:rPr>
        <w:t>472</w:t>
      </w:r>
      <w:r>
        <w:rPr>
          <w:rFonts w:hint="default" w:ascii="Times New Roman" w:hAnsi="Times New Roman" w:cs="Times New Roman"/>
          <w:color w:val="000000"/>
          <w:kern w:val="36"/>
          <w:szCs w:val="21"/>
        </w:rPr>
        <w:t>的规定。</w:t>
      </w:r>
    </w:p>
    <w:p w14:paraId="29D8D1A8">
      <w:pPr>
        <w:pStyle w:val="23"/>
        <w:numPr>
          <w:ilvl w:val="0"/>
          <w:numId w:val="0"/>
        </w:numPr>
        <w:spacing w:before="0" w:beforeLines="0" w:after="0" w:afterLines="0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cs="Times New Roman"/>
          <w:spacing w:val="-6"/>
        </w:rPr>
        <w:t>.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3</w:t>
      </w:r>
      <w:r>
        <w:rPr>
          <w:rFonts w:hint="default" w:ascii="Times New Roman" w:hAnsi="Times New Roman" w:cs="Times New Roman"/>
          <w:spacing w:val="-6"/>
        </w:rPr>
        <w:t>运输</w:t>
      </w:r>
    </w:p>
    <w:p w14:paraId="301493EC">
      <w:pPr>
        <w:widowControl/>
        <w:ind w:firstLine="420" w:firstLineChars="200"/>
        <w:jc w:val="lef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kern w:val="36"/>
          <w:szCs w:val="21"/>
        </w:rPr>
        <w:t>运输的车辆应清洁、干净，不能与有异味的物品混运。雨天运输车辆应有防雨设施，货物装御应轻装轻放。</w:t>
      </w:r>
      <w:r>
        <w:rPr>
          <w:rFonts w:hint="default" w:ascii="Times New Roman" w:hAnsi="Times New Roman" w:cs="Times New Roman"/>
          <w:bCs/>
        </w:rPr>
        <w:t>茶叶的</w:t>
      </w:r>
      <w:r>
        <w:rPr>
          <w:rFonts w:hint="default" w:ascii="Times New Roman" w:hAnsi="Times New Roman" w:cs="Times New Roman"/>
          <w:bCs/>
          <w:lang w:eastAsia="zh-CN"/>
        </w:rPr>
        <w:t>储</w:t>
      </w:r>
      <w:r>
        <w:rPr>
          <w:rFonts w:hint="default" w:ascii="Times New Roman" w:hAnsi="Times New Roman" w:cs="Times New Roman"/>
          <w:bCs/>
        </w:rPr>
        <w:t>藏运输应符合</w:t>
      </w:r>
      <w:r>
        <w:rPr>
          <w:rFonts w:hint="default" w:ascii="Times New Roman" w:hAnsi="Times New Roman" w:cs="Times New Roman"/>
          <w:szCs w:val="21"/>
        </w:rPr>
        <w:t>NY/T 1056要求。</w:t>
      </w:r>
    </w:p>
    <w:p w14:paraId="69668D06">
      <w:pPr>
        <w:pStyle w:val="23"/>
        <w:numPr>
          <w:ilvl w:val="0"/>
          <w:numId w:val="0"/>
        </w:numPr>
        <w:spacing w:before="0" w:beforeLines="0" w:after="0" w:afterLines="0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1</w:t>
      </w:r>
      <w:r>
        <w:rPr>
          <w:rFonts w:hint="eastAsia" w:ascii="Times New Roman" w:hAnsi="Times New Roman" w:cs="Times New Roman"/>
          <w:spacing w:val="-6"/>
          <w:lang w:val="en-US" w:eastAsia="zh-CN"/>
        </w:rPr>
        <w:t>5</w:t>
      </w:r>
      <w:r>
        <w:rPr>
          <w:rFonts w:hint="default" w:ascii="Times New Roman" w:hAnsi="Times New Roman" w:cs="Times New Roman"/>
          <w:spacing w:val="-6"/>
        </w:rPr>
        <w:t xml:space="preserve"> 档案记录</w:t>
      </w:r>
    </w:p>
    <w:p w14:paraId="15937C7A">
      <w:pPr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建立完善的生产记录，记录包括产地环境、投入品采购及使用、出入库、农事记录、加工记录、产品销售、设备清洗及维修、培训记录等。生产记录应有可追溯性，根据批号系统能查询到完整的生产记录全过程。生产记录档案应保存3年以上。</w:t>
      </w:r>
    </w:p>
    <w:p w14:paraId="5DEFBE62">
      <w:pPr>
        <w:spacing w:line="360" w:lineRule="auto"/>
        <w:rPr>
          <w:rFonts w:hint="default" w:ascii="Times New Roman" w:hAnsi="Times New Roman" w:cs="Times New Roman"/>
          <w:szCs w:val="21"/>
        </w:rPr>
      </w:pPr>
    </w:p>
    <w:p w14:paraId="64CC11CC">
      <w:pPr>
        <w:spacing w:line="360" w:lineRule="auto"/>
        <w:ind w:firstLine="4200" w:firstLineChars="2000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br w:type="page"/>
      </w:r>
      <w:r>
        <w:rPr>
          <w:rFonts w:hint="default" w:ascii="Times New Roman" w:hAnsi="Times New Roman" w:eastAsia="黑体" w:cs="Times New Roman"/>
          <w:szCs w:val="21"/>
        </w:rPr>
        <w:t>附录A</w:t>
      </w:r>
    </w:p>
    <w:p w14:paraId="30E40782">
      <w:pPr>
        <w:ind w:firstLine="3675" w:firstLineChars="1750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（资料性附录）</w:t>
      </w:r>
    </w:p>
    <w:p w14:paraId="3E821375">
      <w:pPr>
        <w:spacing w:line="360" w:lineRule="auto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 xml:space="preserve">                    西南地区 绿色食品红茶生产主要病虫草害化学防治方案</w:t>
      </w:r>
    </w:p>
    <w:tbl>
      <w:tblPr>
        <w:tblStyle w:val="9"/>
        <w:tblW w:w="4536" w:type="pct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26"/>
        <w:gridCol w:w="2032"/>
        <w:gridCol w:w="1557"/>
        <w:gridCol w:w="1060"/>
        <w:gridCol w:w="1298"/>
      </w:tblGrid>
      <w:tr w14:paraId="2DCD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08" w:type="pct"/>
            <w:noWrap w:val="0"/>
            <w:vAlign w:val="top"/>
          </w:tcPr>
          <w:p w14:paraId="3E8A793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防治对象</w:t>
            </w:r>
          </w:p>
        </w:tc>
        <w:tc>
          <w:tcPr>
            <w:tcW w:w="988" w:type="pct"/>
            <w:noWrap w:val="0"/>
            <w:vAlign w:val="top"/>
          </w:tcPr>
          <w:p w14:paraId="13DF8D2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防治适期</w:t>
            </w:r>
          </w:p>
          <w:p w14:paraId="6D10806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（防治指标）</w:t>
            </w:r>
          </w:p>
        </w:tc>
        <w:tc>
          <w:tcPr>
            <w:tcW w:w="1163" w:type="pct"/>
            <w:noWrap w:val="0"/>
            <w:vAlign w:val="top"/>
          </w:tcPr>
          <w:p w14:paraId="5B2E029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农药名称</w:t>
            </w:r>
          </w:p>
        </w:tc>
        <w:tc>
          <w:tcPr>
            <w:tcW w:w="891" w:type="pct"/>
            <w:noWrap w:val="0"/>
            <w:vAlign w:val="top"/>
          </w:tcPr>
          <w:p w14:paraId="590FC1D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使用剂量</w:t>
            </w:r>
          </w:p>
          <w:p w14:paraId="4D1D160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ml（g）/亩</w:t>
            </w:r>
          </w:p>
        </w:tc>
        <w:tc>
          <w:tcPr>
            <w:tcW w:w="607" w:type="pct"/>
            <w:noWrap w:val="0"/>
            <w:vAlign w:val="center"/>
          </w:tcPr>
          <w:p w14:paraId="617C8CAC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施药方法</w:t>
            </w:r>
          </w:p>
        </w:tc>
        <w:tc>
          <w:tcPr>
            <w:tcW w:w="743" w:type="pct"/>
            <w:noWrap w:val="0"/>
            <w:vAlign w:val="top"/>
          </w:tcPr>
          <w:p w14:paraId="6423078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安全间隔期</w:t>
            </w:r>
          </w:p>
          <w:p w14:paraId="7809889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天数</w:t>
            </w:r>
          </w:p>
        </w:tc>
      </w:tr>
      <w:tr w14:paraId="193B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608" w:type="pct"/>
            <w:noWrap w:val="0"/>
            <w:vAlign w:val="center"/>
          </w:tcPr>
          <w:p w14:paraId="755583F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茶饼病</w:t>
            </w:r>
          </w:p>
        </w:tc>
        <w:tc>
          <w:tcPr>
            <w:tcW w:w="988" w:type="pct"/>
            <w:noWrap w:val="0"/>
            <w:vAlign w:val="center"/>
          </w:tcPr>
          <w:p w14:paraId="6714F18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芽梢罹病率35%</w:t>
            </w:r>
          </w:p>
        </w:tc>
        <w:tc>
          <w:tcPr>
            <w:tcW w:w="1163" w:type="pct"/>
            <w:noWrap w:val="0"/>
            <w:vAlign w:val="center"/>
          </w:tcPr>
          <w:p w14:paraId="44794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多抗霉素可湿性粉剂</w:t>
            </w:r>
          </w:p>
        </w:tc>
        <w:tc>
          <w:tcPr>
            <w:tcW w:w="891" w:type="pct"/>
            <w:noWrap w:val="0"/>
            <w:vAlign w:val="center"/>
          </w:tcPr>
          <w:p w14:paraId="1D86B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300倍液</w:t>
            </w:r>
          </w:p>
        </w:tc>
        <w:tc>
          <w:tcPr>
            <w:tcW w:w="607" w:type="pct"/>
            <w:noWrap w:val="0"/>
            <w:vAlign w:val="center"/>
          </w:tcPr>
          <w:p w14:paraId="02BE4F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345D5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未规定</w:t>
            </w:r>
          </w:p>
        </w:tc>
      </w:tr>
      <w:tr w14:paraId="2ADA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8" w:hRule="atLeast"/>
        </w:trPr>
        <w:tc>
          <w:tcPr>
            <w:tcW w:w="608" w:type="pct"/>
            <w:noWrap w:val="0"/>
            <w:vAlign w:val="center"/>
          </w:tcPr>
          <w:p w14:paraId="15539B7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炭疽病</w:t>
            </w:r>
          </w:p>
        </w:tc>
        <w:tc>
          <w:tcPr>
            <w:tcW w:w="988" w:type="pct"/>
            <w:noWrap w:val="0"/>
            <w:vAlign w:val="center"/>
          </w:tcPr>
          <w:p w14:paraId="556A08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成、老叶发病率10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，4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9月</w:t>
            </w:r>
          </w:p>
        </w:tc>
        <w:tc>
          <w:tcPr>
            <w:tcW w:w="1163" w:type="pct"/>
            <w:noWrap w:val="0"/>
            <w:vAlign w:val="center"/>
          </w:tcPr>
          <w:p w14:paraId="25BF80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80%代森锌</w:t>
            </w:r>
          </w:p>
          <w:p w14:paraId="3D8CBC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可湿性粉剂</w:t>
            </w:r>
          </w:p>
        </w:tc>
        <w:tc>
          <w:tcPr>
            <w:tcW w:w="891" w:type="pct"/>
            <w:noWrap w:val="0"/>
            <w:vAlign w:val="center"/>
          </w:tcPr>
          <w:p w14:paraId="209EAF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500～700倍液</w:t>
            </w:r>
          </w:p>
        </w:tc>
        <w:tc>
          <w:tcPr>
            <w:tcW w:w="607" w:type="pct"/>
            <w:noWrap w:val="0"/>
            <w:vAlign w:val="center"/>
          </w:tcPr>
          <w:p w14:paraId="4361B9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6944CF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未规定</w:t>
            </w:r>
          </w:p>
        </w:tc>
      </w:tr>
      <w:tr w14:paraId="1A2B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08" w:type="pct"/>
            <w:noWrap w:val="0"/>
            <w:vAlign w:val="center"/>
          </w:tcPr>
          <w:p w14:paraId="429F53C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小绿叶蝉</w:t>
            </w:r>
          </w:p>
        </w:tc>
        <w:tc>
          <w:tcPr>
            <w:tcW w:w="988" w:type="pct"/>
            <w:noWrap w:val="0"/>
            <w:vAlign w:val="center"/>
          </w:tcPr>
          <w:p w14:paraId="75C11BC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百叶虫口数，夏茶5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6头，秋茶12头</w:t>
            </w:r>
          </w:p>
        </w:tc>
        <w:tc>
          <w:tcPr>
            <w:tcW w:w="1163" w:type="pct"/>
            <w:noWrap w:val="0"/>
            <w:vAlign w:val="center"/>
          </w:tcPr>
          <w:p w14:paraId="24D4B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25%噻虫嗪悬浮剂</w:t>
            </w:r>
          </w:p>
        </w:tc>
        <w:tc>
          <w:tcPr>
            <w:tcW w:w="891" w:type="pct"/>
            <w:noWrap w:val="0"/>
            <w:vAlign w:val="center"/>
          </w:tcPr>
          <w:p w14:paraId="30821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4～6ml</w:t>
            </w:r>
          </w:p>
        </w:tc>
        <w:tc>
          <w:tcPr>
            <w:tcW w:w="607" w:type="pct"/>
            <w:noWrap w:val="0"/>
            <w:vAlign w:val="center"/>
          </w:tcPr>
          <w:p w14:paraId="6C39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6EEF9F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</w:tr>
      <w:tr w14:paraId="7E65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608" w:type="pct"/>
            <w:vMerge w:val="restart"/>
            <w:noWrap w:val="0"/>
            <w:vAlign w:val="center"/>
          </w:tcPr>
          <w:p w14:paraId="532861A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茶尺蠖</w:t>
            </w:r>
          </w:p>
        </w:tc>
        <w:tc>
          <w:tcPr>
            <w:tcW w:w="988" w:type="pct"/>
            <w:vMerge w:val="restart"/>
            <w:noWrap w:val="0"/>
            <w:vAlign w:val="center"/>
          </w:tcPr>
          <w:p w14:paraId="65BE3D0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成龄采摘茶园虫口密度每亩4500头或每米长茶行10头</w:t>
            </w:r>
          </w:p>
        </w:tc>
        <w:tc>
          <w:tcPr>
            <w:tcW w:w="1163" w:type="pct"/>
            <w:noWrap w:val="0"/>
            <w:vAlign w:val="center"/>
          </w:tcPr>
          <w:p w14:paraId="4C4830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4.5%高效氯氰菊酯乳油</w:t>
            </w:r>
          </w:p>
        </w:tc>
        <w:tc>
          <w:tcPr>
            <w:tcW w:w="891" w:type="pct"/>
            <w:noWrap w:val="0"/>
            <w:vAlign w:val="center"/>
          </w:tcPr>
          <w:p w14:paraId="2D0501D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40g</w:t>
            </w:r>
          </w:p>
        </w:tc>
        <w:tc>
          <w:tcPr>
            <w:tcW w:w="607" w:type="pct"/>
            <w:noWrap w:val="0"/>
            <w:vAlign w:val="center"/>
          </w:tcPr>
          <w:p w14:paraId="4461139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355FCB0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2B35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608" w:type="pct"/>
            <w:vMerge w:val="continue"/>
            <w:noWrap w:val="0"/>
            <w:vAlign w:val="center"/>
          </w:tcPr>
          <w:p w14:paraId="1584B51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pct"/>
            <w:vMerge w:val="continue"/>
            <w:noWrap w:val="0"/>
            <w:vAlign w:val="center"/>
          </w:tcPr>
          <w:p w14:paraId="37081BF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0BD73E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0.5%苦参碱水剂</w:t>
            </w:r>
          </w:p>
        </w:tc>
        <w:tc>
          <w:tcPr>
            <w:tcW w:w="891" w:type="pct"/>
            <w:noWrap w:val="0"/>
            <w:vAlign w:val="center"/>
          </w:tcPr>
          <w:p w14:paraId="07C2F9F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75g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90 g</w:t>
            </w:r>
          </w:p>
        </w:tc>
        <w:tc>
          <w:tcPr>
            <w:tcW w:w="607" w:type="pct"/>
            <w:noWrap w:val="0"/>
            <w:vAlign w:val="center"/>
          </w:tcPr>
          <w:p w14:paraId="69F647F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6D673C5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14:paraId="4589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608" w:type="pct"/>
            <w:noWrap w:val="0"/>
            <w:vAlign w:val="center"/>
          </w:tcPr>
          <w:p w14:paraId="617ED8E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茶毛虫</w:t>
            </w:r>
          </w:p>
        </w:tc>
        <w:tc>
          <w:tcPr>
            <w:tcW w:w="988" w:type="pct"/>
            <w:noWrap w:val="0"/>
            <w:vAlign w:val="center"/>
          </w:tcPr>
          <w:p w14:paraId="0613A5D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百丛虫卵块5个以上</w:t>
            </w:r>
          </w:p>
        </w:tc>
        <w:tc>
          <w:tcPr>
            <w:tcW w:w="1163" w:type="pct"/>
            <w:noWrap w:val="0"/>
            <w:vAlign w:val="center"/>
          </w:tcPr>
          <w:p w14:paraId="4A40D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苏云金杆菌（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）可湿性粉剂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（1600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0IU/mg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91" w:type="pct"/>
            <w:noWrap w:val="0"/>
            <w:vAlign w:val="center"/>
          </w:tcPr>
          <w:p w14:paraId="05EAF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800～1600倍液</w:t>
            </w:r>
          </w:p>
        </w:tc>
        <w:tc>
          <w:tcPr>
            <w:tcW w:w="607" w:type="pct"/>
            <w:noWrap w:val="0"/>
            <w:vAlign w:val="center"/>
          </w:tcPr>
          <w:p w14:paraId="6B809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3B5E1D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未规定</w:t>
            </w:r>
          </w:p>
        </w:tc>
      </w:tr>
      <w:tr w14:paraId="7370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608" w:type="pct"/>
            <w:vMerge w:val="restart"/>
            <w:noWrap w:val="0"/>
            <w:vAlign w:val="center"/>
          </w:tcPr>
          <w:p w14:paraId="6880BBB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茶橙瘿螨</w:t>
            </w:r>
          </w:p>
        </w:tc>
        <w:tc>
          <w:tcPr>
            <w:tcW w:w="988" w:type="pct"/>
            <w:vMerge w:val="restart"/>
            <w:noWrap w:val="0"/>
            <w:vAlign w:val="center"/>
          </w:tcPr>
          <w:p w14:paraId="65FEF67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百叶虫口＞10头</w:t>
            </w:r>
          </w:p>
        </w:tc>
        <w:tc>
          <w:tcPr>
            <w:tcW w:w="1163" w:type="pct"/>
            <w:noWrap w:val="0"/>
            <w:vAlign w:val="center"/>
          </w:tcPr>
          <w:p w14:paraId="562ADDE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藜芦根茎提取物</w:t>
            </w:r>
          </w:p>
          <w:p w14:paraId="106CF46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pct"/>
            <w:noWrap w:val="0"/>
            <w:vAlign w:val="center"/>
          </w:tcPr>
          <w:p w14:paraId="7767CCBF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600～800倍液</w:t>
            </w:r>
          </w:p>
        </w:tc>
        <w:tc>
          <w:tcPr>
            <w:tcW w:w="607" w:type="pct"/>
            <w:noWrap w:val="0"/>
            <w:vAlign w:val="center"/>
          </w:tcPr>
          <w:p w14:paraId="500882A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6CFBA13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23F0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608" w:type="pct"/>
            <w:vMerge w:val="continue"/>
            <w:noWrap w:val="0"/>
            <w:vAlign w:val="center"/>
          </w:tcPr>
          <w:p w14:paraId="6065D72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pct"/>
            <w:vMerge w:val="continue"/>
            <w:noWrap w:val="0"/>
            <w:vAlign w:val="center"/>
          </w:tcPr>
          <w:p w14:paraId="4F1ACEB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3C4D5D8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99%矿物油乳油</w:t>
            </w:r>
          </w:p>
        </w:tc>
        <w:tc>
          <w:tcPr>
            <w:tcW w:w="891" w:type="pct"/>
            <w:noWrap w:val="0"/>
            <w:vAlign w:val="center"/>
          </w:tcPr>
          <w:p w14:paraId="5E8CB9E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500</w:t>
            </w: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ml</w:t>
            </w:r>
          </w:p>
        </w:tc>
        <w:tc>
          <w:tcPr>
            <w:tcW w:w="607" w:type="pct"/>
            <w:noWrap w:val="0"/>
            <w:vAlign w:val="center"/>
          </w:tcPr>
          <w:p w14:paraId="6245657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喷雾</w:t>
            </w:r>
          </w:p>
        </w:tc>
        <w:tc>
          <w:tcPr>
            <w:tcW w:w="743" w:type="pct"/>
            <w:noWrap w:val="0"/>
            <w:vAlign w:val="center"/>
          </w:tcPr>
          <w:p w14:paraId="62ED4D3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14:paraId="3094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7" w:hRule="atLeast"/>
        </w:trPr>
        <w:tc>
          <w:tcPr>
            <w:tcW w:w="1062" w:type="dxa"/>
            <w:noWrap w:val="0"/>
            <w:vAlign w:val="center"/>
          </w:tcPr>
          <w:p w14:paraId="74D36D0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杂草</w:t>
            </w:r>
          </w:p>
        </w:tc>
        <w:tc>
          <w:tcPr>
            <w:tcW w:w="1726" w:type="dxa"/>
            <w:noWrap w:val="0"/>
            <w:vAlign w:val="center"/>
          </w:tcPr>
          <w:p w14:paraId="5A530E6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根据杂草长势</w:t>
            </w:r>
          </w:p>
        </w:tc>
        <w:tc>
          <w:tcPr>
            <w:tcW w:w="2032" w:type="dxa"/>
            <w:noWrap w:val="0"/>
            <w:vAlign w:val="center"/>
          </w:tcPr>
          <w:p w14:paraId="58ADF684">
            <w:pPr>
              <w:widowControl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  <w:t>18%草铵膦可溶液剂</w:t>
            </w:r>
          </w:p>
        </w:tc>
        <w:tc>
          <w:tcPr>
            <w:tcW w:w="1557" w:type="dxa"/>
            <w:noWrap w:val="0"/>
            <w:vAlign w:val="center"/>
          </w:tcPr>
          <w:p w14:paraId="4FAD0E11">
            <w:pPr>
              <w:widowControl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MS Mincho" w:cs="Times New Roman"/>
                <w:b/>
                <w:color w:val="000000"/>
                <w:kern w:val="36"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  <w:t>300ml</w:t>
            </w:r>
          </w:p>
        </w:tc>
        <w:tc>
          <w:tcPr>
            <w:tcW w:w="1060" w:type="dxa"/>
            <w:noWrap w:val="0"/>
            <w:vAlign w:val="center"/>
          </w:tcPr>
          <w:p w14:paraId="1DF3F99B">
            <w:pPr>
              <w:widowControl/>
              <w:spacing w:line="200" w:lineRule="exact"/>
              <w:jc w:val="center"/>
              <w:outlineLvl w:val="0"/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  <w:t>定向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茎叶喷雾</w:t>
            </w:r>
          </w:p>
        </w:tc>
        <w:tc>
          <w:tcPr>
            <w:tcW w:w="1298" w:type="dxa"/>
            <w:noWrap w:val="0"/>
            <w:vAlign w:val="center"/>
          </w:tcPr>
          <w:p w14:paraId="1BB7E18A">
            <w:pPr>
              <w:widowControl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</w:rPr>
              <w:t>未规定</w:t>
            </w:r>
          </w:p>
        </w:tc>
      </w:tr>
      <w:tr w14:paraId="1B2F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00" w:type="pct"/>
            <w:gridSpan w:val="6"/>
            <w:noWrap w:val="0"/>
            <w:vAlign w:val="center"/>
          </w:tcPr>
          <w:p w14:paraId="3D0FD5E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注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农药使用以最新版本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NY/T 393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为准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</w:t>
            </w:r>
          </w:p>
        </w:tc>
      </w:tr>
    </w:tbl>
    <w:p w14:paraId="2E41311D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</w:p>
    <w:p w14:paraId="6B6B27DD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</w:p>
    <w:p w14:paraId="473B7EA4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</w:p>
    <w:p w14:paraId="4D654298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22C4C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  <w:lang/>
      </w:rPr>
      <w:t>1</w:t>
    </w:r>
    <w:r>
      <w:fldChar w:fldCharType="end"/>
    </w:r>
  </w:p>
  <w:p w14:paraId="1006905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C6A80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13B9D6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6"/>
      <w:suff w:val="nothing"/>
      <w:lvlText w:val="%1　"/>
      <w:lvlJc w:val="left"/>
      <w:pPr>
        <w:ind w:left="284" w:firstLine="0"/>
      </w:pPr>
      <w:rPr>
        <w:rFonts w:hint="default" w:ascii="Times New Roman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23"/>
      <w:suff w:val="nothing"/>
      <w:lvlText w:val="%1.%2　"/>
      <w:lvlJc w:val="left"/>
      <w:pPr>
        <w:ind w:left="154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46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8"/>
      <w:suff w:val="nothing"/>
      <w:lvlText w:val="%1.%2.%3.%4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0"/>
      <w:suff w:val="nothing"/>
      <w:lvlText w:val="%1.%2.%3.%4.%5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35"/>
        </w:tabs>
        <w:ind w:left="4253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061"/>
        </w:tabs>
        <w:ind w:left="4961" w:hanging="1700"/>
      </w:pPr>
    </w:lvl>
  </w:abstractNum>
  <w:abstractNum w:abstractNumId="1">
    <w:nsid w:val="00000011"/>
    <w:multiLevelType w:val="multilevel"/>
    <w:tmpl w:val="00000011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WJkMDYwZmJkZjEzMjUwZmM5ZGNmNThhYzg0ODUifQ=="/>
  </w:docVars>
  <w:rsids>
    <w:rsidRoot w:val="00477483"/>
    <w:rsid w:val="000004C5"/>
    <w:rsid w:val="00001BBF"/>
    <w:rsid w:val="00021630"/>
    <w:rsid w:val="0002481F"/>
    <w:rsid w:val="00031CB6"/>
    <w:rsid w:val="000320B3"/>
    <w:rsid w:val="00034A5D"/>
    <w:rsid w:val="000379E6"/>
    <w:rsid w:val="000507CC"/>
    <w:rsid w:val="000604A3"/>
    <w:rsid w:val="00071B78"/>
    <w:rsid w:val="00077215"/>
    <w:rsid w:val="00097325"/>
    <w:rsid w:val="000A7E17"/>
    <w:rsid w:val="000B1B8B"/>
    <w:rsid w:val="000B38C7"/>
    <w:rsid w:val="000B3AB8"/>
    <w:rsid w:val="000C0425"/>
    <w:rsid w:val="000C244F"/>
    <w:rsid w:val="000E06BC"/>
    <w:rsid w:val="000E51AE"/>
    <w:rsid w:val="000F1C38"/>
    <w:rsid w:val="000F3855"/>
    <w:rsid w:val="000F4EB9"/>
    <w:rsid w:val="00103CCB"/>
    <w:rsid w:val="001131B7"/>
    <w:rsid w:val="00113A96"/>
    <w:rsid w:val="00117F0D"/>
    <w:rsid w:val="00125564"/>
    <w:rsid w:val="00137C66"/>
    <w:rsid w:val="00147D06"/>
    <w:rsid w:val="001504D6"/>
    <w:rsid w:val="00151F64"/>
    <w:rsid w:val="00157F20"/>
    <w:rsid w:val="00162DC4"/>
    <w:rsid w:val="00175F3F"/>
    <w:rsid w:val="00180786"/>
    <w:rsid w:val="001815E1"/>
    <w:rsid w:val="001A288C"/>
    <w:rsid w:val="001A2B09"/>
    <w:rsid w:val="001A6054"/>
    <w:rsid w:val="001B3B0D"/>
    <w:rsid w:val="001B5C40"/>
    <w:rsid w:val="001C65C0"/>
    <w:rsid w:val="001D1E30"/>
    <w:rsid w:val="001E69DF"/>
    <w:rsid w:val="002004AB"/>
    <w:rsid w:val="002011D7"/>
    <w:rsid w:val="00205832"/>
    <w:rsid w:val="00210A03"/>
    <w:rsid w:val="002134F4"/>
    <w:rsid w:val="0021422E"/>
    <w:rsid w:val="00216008"/>
    <w:rsid w:val="00227392"/>
    <w:rsid w:val="00237ED8"/>
    <w:rsid w:val="002416CB"/>
    <w:rsid w:val="002419C6"/>
    <w:rsid w:val="00241A83"/>
    <w:rsid w:val="0024581C"/>
    <w:rsid w:val="00247DC3"/>
    <w:rsid w:val="00260010"/>
    <w:rsid w:val="002621C8"/>
    <w:rsid w:val="002722B7"/>
    <w:rsid w:val="002833EA"/>
    <w:rsid w:val="0029065B"/>
    <w:rsid w:val="0029351A"/>
    <w:rsid w:val="00297576"/>
    <w:rsid w:val="002A25B3"/>
    <w:rsid w:val="002A7B5D"/>
    <w:rsid w:val="002B6CA2"/>
    <w:rsid w:val="002D66FE"/>
    <w:rsid w:val="002D7D11"/>
    <w:rsid w:val="002E30C4"/>
    <w:rsid w:val="002E3467"/>
    <w:rsid w:val="002F0B57"/>
    <w:rsid w:val="002F17B6"/>
    <w:rsid w:val="002F2695"/>
    <w:rsid w:val="002F6C35"/>
    <w:rsid w:val="00300C5C"/>
    <w:rsid w:val="00302C25"/>
    <w:rsid w:val="0030674B"/>
    <w:rsid w:val="00306FDD"/>
    <w:rsid w:val="00310236"/>
    <w:rsid w:val="00320D62"/>
    <w:rsid w:val="00326EE1"/>
    <w:rsid w:val="003273E6"/>
    <w:rsid w:val="00330C0C"/>
    <w:rsid w:val="003351CD"/>
    <w:rsid w:val="0033720E"/>
    <w:rsid w:val="00370E87"/>
    <w:rsid w:val="0037199E"/>
    <w:rsid w:val="00373C3C"/>
    <w:rsid w:val="00375AFB"/>
    <w:rsid w:val="00377C82"/>
    <w:rsid w:val="00380DA0"/>
    <w:rsid w:val="00381801"/>
    <w:rsid w:val="00381E83"/>
    <w:rsid w:val="003873F9"/>
    <w:rsid w:val="00387AFC"/>
    <w:rsid w:val="00396597"/>
    <w:rsid w:val="003A2860"/>
    <w:rsid w:val="003A72CF"/>
    <w:rsid w:val="003A73F1"/>
    <w:rsid w:val="003B223A"/>
    <w:rsid w:val="003B42A0"/>
    <w:rsid w:val="003C667A"/>
    <w:rsid w:val="003C6A88"/>
    <w:rsid w:val="003D28C0"/>
    <w:rsid w:val="003D42A3"/>
    <w:rsid w:val="003D5D1A"/>
    <w:rsid w:val="003D71B5"/>
    <w:rsid w:val="003E1042"/>
    <w:rsid w:val="003E50BD"/>
    <w:rsid w:val="003E7FEE"/>
    <w:rsid w:val="003F14E5"/>
    <w:rsid w:val="003F1B11"/>
    <w:rsid w:val="003F624C"/>
    <w:rsid w:val="00402DCF"/>
    <w:rsid w:val="004044B9"/>
    <w:rsid w:val="004162F2"/>
    <w:rsid w:val="00416C50"/>
    <w:rsid w:val="0042045C"/>
    <w:rsid w:val="00421422"/>
    <w:rsid w:val="00426107"/>
    <w:rsid w:val="004314F7"/>
    <w:rsid w:val="004343D1"/>
    <w:rsid w:val="00436A26"/>
    <w:rsid w:val="004479E8"/>
    <w:rsid w:val="00451A13"/>
    <w:rsid w:val="00455231"/>
    <w:rsid w:val="00461E93"/>
    <w:rsid w:val="00467DBC"/>
    <w:rsid w:val="00475B33"/>
    <w:rsid w:val="00476CBE"/>
    <w:rsid w:val="00477483"/>
    <w:rsid w:val="00494D2A"/>
    <w:rsid w:val="0049672A"/>
    <w:rsid w:val="004A03D8"/>
    <w:rsid w:val="004A12F2"/>
    <w:rsid w:val="004A2CDC"/>
    <w:rsid w:val="004B30E4"/>
    <w:rsid w:val="004C533B"/>
    <w:rsid w:val="004D4F3C"/>
    <w:rsid w:val="004F26B1"/>
    <w:rsid w:val="0050346E"/>
    <w:rsid w:val="00510957"/>
    <w:rsid w:val="00513C50"/>
    <w:rsid w:val="0052422D"/>
    <w:rsid w:val="00532D66"/>
    <w:rsid w:val="0053305E"/>
    <w:rsid w:val="00542138"/>
    <w:rsid w:val="00560397"/>
    <w:rsid w:val="0056150C"/>
    <w:rsid w:val="005663D9"/>
    <w:rsid w:val="00566636"/>
    <w:rsid w:val="00570724"/>
    <w:rsid w:val="0057406D"/>
    <w:rsid w:val="0059296E"/>
    <w:rsid w:val="00594F64"/>
    <w:rsid w:val="005954EF"/>
    <w:rsid w:val="005A2D62"/>
    <w:rsid w:val="005A4BE6"/>
    <w:rsid w:val="005B5B2C"/>
    <w:rsid w:val="005C7CBD"/>
    <w:rsid w:val="005D1F19"/>
    <w:rsid w:val="005D7B2A"/>
    <w:rsid w:val="005F585E"/>
    <w:rsid w:val="005F5D76"/>
    <w:rsid w:val="00604FCF"/>
    <w:rsid w:val="00616C2A"/>
    <w:rsid w:val="00620FE1"/>
    <w:rsid w:val="00626F1F"/>
    <w:rsid w:val="0064112A"/>
    <w:rsid w:val="00644E33"/>
    <w:rsid w:val="00652A52"/>
    <w:rsid w:val="006544C5"/>
    <w:rsid w:val="0065556A"/>
    <w:rsid w:val="00677758"/>
    <w:rsid w:val="00681E85"/>
    <w:rsid w:val="006848F5"/>
    <w:rsid w:val="00687EAC"/>
    <w:rsid w:val="00690EDA"/>
    <w:rsid w:val="006938ED"/>
    <w:rsid w:val="00696310"/>
    <w:rsid w:val="006B064D"/>
    <w:rsid w:val="006B3D81"/>
    <w:rsid w:val="006C1ECD"/>
    <w:rsid w:val="006C541E"/>
    <w:rsid w:val="006D3B80"/>
    <w:rsid w:val="006E014E"/>
    <w:rsid w:val="006E05DA"/>
    <w:rsid w:val="006E275C"/>
    <w:rsid w:val="006E3C01"/>
    <w:rsid w:val="006F45BD"/>
    <w:rsid w:val="00702753"/>
    <w:rsid w:val="00703EF8"/>
    <w:rsid w:val="00706E5C"/>
    <w:rsid w:val="00707B79"/>
    <w:rsid w:val="00707C20"/>
    <w:rsid w:val="00713A3A"/>
    <w:rsid w:val="0071710D"/>
    <w:rsid w:val="00720127"/>
    <w:rsid w:val="00722BFC"/>
    <w:rsid w:val="00727E5A"/>
    <w:rsid w:val="007370A4"/>
    <w:rsid w:val="00743AD5"/>
    <w:rsid w:val="007446A2"/>
    <w:rsid w:val="00745195"/>
    <w:rsid w:val="00745BD0"/>
    <w:rsid w:val="00745EB4"/>
    <w:rsid w:val="00745FD7"/>
    <w:rsid w:val="00755E3E"/>
    <w:rsid w:val="00771AF0"/>
    <w:rsid w:val="007722EC"/>
    <w:rsid w:val="00773DDD"/>
    <w:rsid w:val="0077444F"/>
    <w:rsid w:val="007744E7"/>
    <w:rsid w:val="00783A06"/>
    <w:rsid w:val="00786A63"/>
    <w:rsid w:val="00794CED"/>
    <w:rsid w:val="007A179E"/>
    <w:rsid w:val="007C4550"/>
    <w:rsid w:val="007D4B6F"/>
    <w:rsid w:val="007E5F8C"/>
    <w:rsid w:val="007F49DD"/>
    <w:rsid w:val="007F7358"/>
    <w:rsid w:val="0081166A"/>
    <w:rsid w:val="00811DCD"/>
    <w:rsid w:val="0082154C"/>
    <w:rsid w:val="00823FDB"/>
    <w:rsid w:val="00841345"/>
    <w:rsid w:val="00844547"/>
    <w:rsid w:val="00845233"/>
    <w:rsid w:val="00850766"/>
    <w:rsid w:val="008520A9"/>
    <w:rsid w:val="00864D3C"/>
    <w:rsid w:val="0086623B"/>
    <w:rsid w:val="008706FD"/>
    <w:rsid w:val="00873820"/>
    <w:rsid w:val="00876B5A"/>
    <w:rsid w:val="008774D0"/>
    <w:rsid w:val="008912A3"/>
    <w:rsid w:val="008922B5"/>
    <w:rsid w:val="008B2DFE"/>
    <w:rsid w:val="008C211A"/>
    <w:rsid w:val="008C3D60"/>
    <w:rsid w:val="008C68B7"/>
    <w:rsid w:val="008D10F6"/>
    <w:rsid w:val="008D178C"/>
    <w:rsid w:val="008D4539"/>
    <w:rsid w:val="008D709F"/>
    <w:rsid w:val="008E32FE"/>
    <w:rsid w:val="008E3DCD"/>
    <w:rsid w:val="0090080E"/>
    <w:rsid w:val="00917972"/>
    <w:rsid w:val="00925BAB"/>
    <w:rsid w:val="00935332"/>
    <w:rsid w:val="00944F28"/>
    <w:rsid w:val="00961F57"/>
    <w:rsid w:val="00966F77"/>
    <w:rsid w:val="00967390"/>
    <w:rsid w:val="009777A9"/>
    <w:rsid w:val="00981AF0"/>
    <w:rsid w:val="009877EF"/>
    <w:rsid w:val="00987C03"/>
    <w:rsid w:val="00992E6C"/>
    <w:rsid w:val="009A6C9B"/>
    <w:rsid w:val="009B033A"/>
    <w:rsid w:val="009B519B"/>
    <w:rsid w:val="009C49F7"/>
    <w:rsid w:val="009D7CF9"/>
    <w:rsid w:val="009E3821"/>
    <w:rsid w:val="009F6DC3"/>
    <w:rsid w:val="00A1340A"/>
    <w:rsid w:val="00A13AC8"/>
    <w:rsid w:val="00A3507C"/>
    <w:rsid w:val="00A42FB3"/>
    <w:rsid w:val="00A44563"/>
    <w:rsid w:val="00A4670C"/>
    <w:rsid w:val="00A532BC"/>
    <w:rsid w:val="00A62829"/>
    <w:rsid w:val="00A64597"/>
    <w:rsid w:val="00A6501F"/>
    <w:rsid w:val="00A7086F"/>
    <w:rsid w:val="00A71632"/>
    <w:rsid w:val="00A71DB1"/>
    <w:rsid w:val="00A71F34"/>
    <w:rsid w:val="00A7410D"/>
    <w:rsid w:val="00A76F09"/>
    <w:rsid w:val="00A816EF"/>
    <w:rsid w:val="00A82407"/>
    <w:rsid w:val="00A844AA"/>
    <w:rsid w:val="00AA6B6D"/>
    <w:rsid w:val="00AB02BC"/>
    <w:rsid w:val="00AB27A6"/>
    <w:rsid w:val="00AB6944"/>
    <w:rsid w:val="00AB794F"/>
    <w:rsid w:val="00AC18E4"/>
    <w:rsid w:val="00AC7B09"/>
    <w:rsid w:val="00AD1E59"/>
    <w:rsid w:val="00AE170D"/>
    <w:rsid w:val="00AE1EA0"/>
    <w:rsid w:val="00AE3970"/>
    <w:rsid w:val="00AE620B"/>
    <w:rsid w:val="00AF08D5"/>
    <w:rsid w:val="00AF48EA"/>
    <w:rsid w:val="00AF740F"/>
    <w:rsid w:val="00B022A2"/>
    <w:rsid w:val="00B04D5D"/>
    <w:rsid w:val="00B131E1"/>
    <w:rsid w:val="00B176C7"/>
    <w:rsid w:val="00B23C0B"/>
    <w:rsid w:val="00B34599"/>
    <w:rsid w:val="00B354DD"/>
    <w:rsid w:val="00B43027"/>
    <w:rsid w:val="00B43EBB"/>
    <w:rsid w:val="00B64A46"/>
    <w:rsid w:val="00B658BD"/>
    <w:rsid w:val="00B65919"/>
    <w:rsid w:val="00B67CC5"/>
    <w:rsid w:val="00B70382"/>
    <w:rsid w:val="00B75924"/>
    <w:rsid w:val="00B87F47"/>
    <w:rsid w:val="00B902B5"/>
    <w:rsid w:val="00B96847"/>
    <w:rsid w:val="00BA3012"/>
    <w:rsid w:val="00BD54C1"/>
    <w:rsid w:val="00BD76D9"/>
    <w:rsid w:val="00BF552E"/>
    <w:rsid w:val="00BF76C4"/>
    <w:rsid w:val="00BF7CEB"/>
    <w:rsid w:val="00C00E05"/>
    <w:rsid w:val="00C102E4"/>
    <w:rsid w:val="00C203B8"/>
    <w:rsid w:val="00C2437E"/>
    <w:rsid w:val="00C310BE"/>
    <w:rsid w:val="00C4172B"/>
    <w:rsid w:val="00C50456"/>
    <w:rsid w:val="00C62537"/>
    <w:rsid w:val="00C6486E"/>
    <w:rsid w:val="00C65D6A"/>
    <w:rsid w:val="00C67F65"/>
    <w:rsid w:val="00C82322"/>
    <w:rsid w:val="00C904A9"/>
    <w:rsid w:val="00C964EC"/>
    <w:rsid w:val="00CA0B8D"/>
    <w:rsid w:val="00CA5621"/>
    <w:rsid w:val="00CA6337"/>
    <w:rsid w:val="00CB7910"/>
    <w:rsid w:val="00CC3FAF"/>
    <w:rsid w:val="00CC63C3"/>
    <w:rsid w:val="00CC6FF5"/>
    <w:rsid w:val="00CD0DBD"/>
    <w:rsid w:val="00CD7E92"/>
    <w:rsid w:val="00CE4B17"/>
    <w:rsid w:val="00CF122B"/>
    <w:rsid w:val="00CF4189"/>
    <w:rsid w:val="00CF53FD"/>
    <w:rsid w:val="00CF5774"/>
    <w:rsid w:val="00D01347"/>
    <w:rsid w:val="00D07B8D"/>
    <w:rsid w:val="00D344D6"/>
    <w:rsid w:val="00D34FE2"/>
    <w:rsid w:val="00D37A8F"/>
    <w:rsid w:val="00D42A57"/>
    <w:rsid w:val="00D4491C"/>
    <w:rsid w:val="00D5067F"/>
    <w:rsid w:val="00D533DE"/>
    <w:rsid w:val="00D537F8"/>
    <w:rsid w:val="00D62EDB"/>
    <w:rsid w:val="00D64CFB"/>
    <w:rsid w:val="00D6768A"/>
    <w:rsid w:val="00D74283"/>
    <w:rsid w:val="00D77D8F"/>
    <w:rsid w:val="00D84372"/>
    <w:rsid w:val="00D869DC"/>
    <w:rsid w:val="00DB0D63"/>
    <w:rsid w:val="00DB181C"/>
    <w:rsid w:val="00DB2C86"/>
    <w:rsid w:val="00DB7FC9"/>
    <w:rsid w:val="00DC59C2"/>
    <w:rsid w:val="00DC7E96"/>
    <w:rsid w:val="00DD191A"/>
    <w:rsid w:val="00DE4A8E"/>
    <w:rsid w:val="00DE5454"/>
    <w:rsid w:val="00DE7F2E"/>
    <w:rsid w:val="00DF5175"/>
    <w:rsid w:val="00DF66E2"/>
    <w:rsid w:val="00E06765"/>
    <w:rsid w:val="00E20646"/>
    <w:rsid w:val="00E2113F"/>
    <w:rsid w:val="00E2173C"/>
    <w:rsid w:val="00E35C61"/>
    <w:rsid w:val="00E36861"/>
    <w:rsid w:val="00E462AC"/>
    <w:rsid w:val="00E5164E"/>
    <w:rsid w:val="00E53BA8"/>
    <w:rsid w:val="00E53C79"/>
    <w:rsid w:val="00E54982"/>
    <w:rsid w:val="00E61D16"/>
    <w:rsid w:val="00E66F28"/>
    <w:rsid w:val="00E67E78"/>
    <w:rsid w:val="00E758A1"/>
    <w:rsid w:val="00E817BD"/>
    <w:rsid w:val="00E822E4"/>
    <w:rsid w:val="00E956F9"/>
    <w:rsid w:val="00E95A3C"/>
    <w:rsid w:val="00E95EC9"/>
    <w:rsid w:val="00E96C6B"/>
    <w:rsid w:val="00EA3394"/>
    <w:rsid w:val="00EA6841"/>
    <w:rsid w:val="00EB495F"/>
    <w:rsid w:val="00EB54EC"/>
    <w:rsid w:val="00EC034A"/>
    <w:rsid w:val="00EC0B3F"/>
    <w:rsid w:val="00EC4F31"/>
    <w:rsid w:val="00EF095D"/>
    <w:rsid w:val="00EF6CA7"/>
    <w:rsid w:val="00F01595"/>
    <w:rsid w:val="00F0407F"/>
    <w:rsid w:val="00F128B6"/>
    <w:rsid w:val="00F140C7"/>
    <w:rsid w:val="00F16985"/>
    <w:rsid w:val="00F47201"/>
    <w:rsid w:val="00F65EC0"/>
    <w:rsid w:val="00F66BC4"/>
    <w:rsid w:val="00F737AE"/>
    <w:rsid w:val="00F84135"/>
    <w:rsid w:val="00F87F06"/>
    <w:rsid w:val="00FC51C1"/>
    <w:rsid w:val="00FC797E"/>
    <w:rsid w:val="00FE64DC"/>
    <w:rsid w:val="00FE706B"/>
    <w:rsid w:val="00FF1D31"/>
    <w:rsid w:val="00FF2255"/>
    <w:rsid w:val="02481AC2"/>
    <w:rsid w:val="0D4E5761"/>
    <w:rsid w:val="1ECD1E1B"/>
    <w:rsid w:val="20281452"/>
    <w:rsid w:val="33406AF4"/>
    <w:rsid w:val="3DA64703"/>
    <w:rsid w:val="424F352A"/>
    <w:rsid w:val="4EE15535"/>
    <w:rsid w:val="52C45013"/>
    <w:rsid w:val="5C81052D"/>
    <w:rsid w:val="5F9F6876"/>
    <w:rsid w:val="66FD1F99"/>
    <w:rsid w:val="6A8219B9"/>
    <w:rsid w:val="6BF78411"/>
    <w:rsid w:val="7FDF9CCC"/>
    <w:rsid w:val="A3D72512"/>
    <w:rsid w:val="AFDFBEC0"/>
    <w:rsid w:val="BDCEF9F1"/>
    <w:rsid w:val="CF7A5A6C"/>
    <w:rsid w:val="D7FF93EE"/>
    <w:rsid w:val="DFFB2751"/>
    <w:rsid w:val="E95FABC8"/>
    <w:rsid w:val="F37B87EC"/>
    <w:rsid w:val="FFC72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600"/>
      <w:outlineLvl w:val="0"/>
    </w:pPr>
    <w:rPr>
      <w:rFonts w:eastAsia="黑体"/>
      <w:kern w:val="44"/>
      <w:sz w:val="30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jc w:val="center"/>
      <w:outlineLvl w:val="0"/>
    </w:pPr>
    <w:rPr>
      <w:rFonts w:ascii="Calibri Light" w:hAnsi="Calibri Light" w:eastAsia="方正小标宋_GBK"/>
      <w:bCs/>
      <w:sz w:val="36"/>
      <w:szCs w:val="32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customStyle="1" w:styleId="14">
    <w:name w:val="页眉 Char"/>
    <w:basedOn w:val="11"/>
    <w:link w:val="6"/>
    <w:uiPriority w:val="0"/>
    <w:rPr>
      <w:kern w:val="2"/>
      <w:sz w:val="18"/>
      <w:szCs w:val="18"/>
    </w:rPr>
  </w:style>
  <w:style w:type="character" w:customStyle="1" w:styleId="15">
    <w:name w:val="标题 Char"/>
    <w:link w:val="8"/>
    <w:uiPriority w:val="0"/>
    <w:rPr>
      <w:rFonts w:ascii="Calibri Light" w:hAnsi="Calibri Light" w:eastAsia="方正小标宋_GBK"/>
      <w:bCs/>
      <w:kern w:val="2"/>
      <w:sz w:val="36"/>
      <w:szCs w:val="32"/>
      <w:lang w:val="en-US" w:eastAsia="zh-CN" w:bidi="ar-SA"/>
    </w:rPr>
  </w:style>
  <w:style w:type="character" w:customStyle="1" w:styleId="16">
    <w:name w:val="apple-converted-space"/>
    <w:basedOn w:val="11"/>
    <w:uiPriority w:val="0"/>
  </w:style>
  <w:style w:type="character" w:customStyle="1" w:styleId="17">
    <w:name w:val="split-word"/>
    <w:basedOn w:val="11"/>
    <w:uiPriority w:val="0"/>
  </w:style>
  <w:style w:type="character" w:customStyle="1" w:styleId="18">
    <w:name w:val="words-outer-wrap"/>
    <w:basedOn w:val="11"/>
    <w:uiPriority w:val="0"/>
  </w:style>
  <w:style w:type="paragraph" w:customStyle="1" w:styleId="19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段"/>
    <w:link w:val="21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/>
      <w:sz w:val="21"/>
      <w:szCs w:val="22"/>
      <w:lang w:bidi="ar-SA"/>
    </w:rPr>
  </w:style>
  <w:style w:type="character" w:customStyle="1" w:styleId="21">
    <w:name w:val="段 Char"/>
    <w:link w:val="20"/>
    <w:uiPriority w:val="0"/>
    <w:rPr>
      <w:rFonts w:ascii="宋体" w:hAnsi="宋体"/>
      <w:sz w:val="21"/>
      <w:szCs w:val="22"/>
      <w:lang w:bidi="ar-SA"/>
    </w:rPr>
  </w:style>
  <w:style w:type="paragraph" w:customStyle="1" w:styleId="22">
    <w:name w:val="二级条标题"/>
    <w:basedOn w:val="23"/>
    <w:next w:val="20"/>
    <w:qFormat/>
    <w:uiPriority w:val="0"/>
    <w:pPr>
      <w:numPr>
        <w:ilvl w:val="2"/>
        <w:numId w:val="1"/>
      </w:numPr>
      <w:outlineLvl w:val="3"/>
    </w:pPr>
  </w:style>
  <w:style w:type="paragraph" w:customStyle="1" w:styleId="23">
    <w:name w:val="一级条标题"/>
    <w:next w:val="2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24">
    <w:name w:val="列出段落1"/>
    <w:basedOn w:val="1"/>
    <w:uiPriority w:val="0"/>
    <w:pPr>
      <w:ind w:firstLine="420" w:firstLineChars="200"/>
    </w:pPr>
    <w:rPr>
      <w:szCs w:val="21"/>
    </w:rPr>
  </w:style>
  <w:style w:type="paragraph" w:customStyle="1" w:styleId="25">
    <w:name w:val="二级无"/>
    <w:basedOn w:val="22"/>
    <w:uiPriority w:val="0"/>
    <w:rPr>
      <w:rFonts w:ascii="宋体" w:eastAsia="宋体"/>
    </w:rPr>
  </w:style>
  <w:style w:type="paragraph" w:customStyle="1" w:styleId="26">
    <w:name w:val="章标题"/>
    <w:next w:val="20"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eastAsia="黑体"/>
      <w:sz w:val="21"/>
      <w:szCs w:val="22"/>
      <w:lang w:val="en-US" w:eastAsia="zh-CN" w:bidi="ar-SA"/>
    </w:rPr>
  </w:style>
  <w:style w:type="paragraph" w:customStyle="1" w:styleId="27">
    <w:name w:val="一级无"/>
    <w:basedOn w:val="23"/>
    <w:uiPriority w:val="0"/>
    <w:pPr>
      <w:numPr>
        <w:ilvl w:val="1"/>
        <w:numId w:val="2"/>
      </w:numPr>
    </w:pPr>
    <w:rPr>
      <w:rFonts w:ascii="宋体" w:eastAsia="宋体"/>
    </w:rPr>
  </w:style>
  <w:style w:type="paragraph" w:customStyle="1" w:styleId="28">
    <w:name w:val="三级条标题"/>
    <w:basedOn w:val="22"/>
    <w:next w:val="20"/>
    <w:uiPriority w:val="0"/>
    <w:pPr>
      <w:numPr>
        <w:ilvl w:val="3"/>
        <w:numId w:val="1"/>
      </w:numPr>
      <w:outlineLvl w:val="4"/>
    </w:pPr>
  </w:style>
  <w:style w:type="paragraph" w:customStyle="1" w:styleId="29">
    <w:name w:val="四级无"/>
    <w:basedOn w:val="30"/>
    <w:uiPriority w:val="0"/>
    <w:pPr>
      <w:numPr>
        <w:ilvl w:val="4"/>
        <w:numId w:val="2"/>
      </w:numPr>
    </w:pPr>
    <w:rPr>
      <w:rFonts w:ascii="宋体" w:eastAsia="宋体"/>
    </w:rPr>
  </w:style>
  <w:style w:type="paragraph" w:customStyle="1" w:styleId="30">
    <w:name w:val="四级条标题"/>
    <w:basedOn w:val="28"/>
    <w:next w:val="20"/>
    <w:uiPriority w:val="0"/>
    <w:pPr>
      <w:numPr>
        <w:ilvl w:val="4"/>
        <w:numId w:val="1"/>
      </w:numPr>
      <w:outlineLvl w:val="5"/>
    </w:pPr>
  </w:style>
  <w:style w:type="paragraph" w:customStyle="1" w:styleId="31">
    <w:name w:val="三级无"/>
    <w:basedOn w:val="28"/>
    <w:qFormat/>
    <w:uiPriority w:val="0"/>
    <w:rPr>
      <w:rFonts w:ascii="宋体" w:eastAsia="宋体"/>
    </w:rPr>
  </w:style>
  <w:style w:type="character" w:customStyle="1" w:styleId="32">
    <w:name w:val="正文文本 (8) + 9 pt"/>
    <w:aliases w:val="非粗体"/>
    <w:uiPriority w:val="0"/>
    <w:rPr>
      <w:rFonts w:ascii="MingLiU" w:hAnsi="MingLiU" w:eastAsia="MingLiU" w:cs="MingLiU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zh-CN" w:eastAsia="zh-CN" w:bidi="zh-CN"/>
    </w:rPr>
  </w:style>
  <w:style w:type="paragraph" w:customStyle="1" w:styleId="33">
    <w:name w:val="文献分类号"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4">
    <w:name w:val="标准称谓3"/>
    <w:next w:val="1"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paragraph" w:customStyle="1" w:styleId="35">
    <w:name w:val="封面标准号2"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6">
    <w:name w:val="封面标准顶部线"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37">
    <w:name w:val="封面日期"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7753</Words>
  <Characters>9073</Characters>
  <Lines>52</Lines>
  <Paragraphs>14</Paragraphs>
  <TotalTime>0</TotalTime>
  <ScaleCrop>false</ScaleCrop>
  <LinksUpToDate>false</LinksUpToDate>
  <CharactersWithSpaces>9293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2018-01-12T13:13:00Z</dcterms:created>
  <dc:creator>ls</dc:creator>
  <cp:lastModifiedBy>房正</cp:lastModifiedBy>
  <cp:lastPrinted>2020-10-17T14:15:00Z</cp:lastPrinted>
  <dcterms:modified xsi:type="dcterms:W3CDTF">2026-04-15T06:18:07Z</dcterms:modified>
  <dc:title>绿色食品、普洱茶生产技术规程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eyJoZGlkIjoiMGUyOGZlMzdlZWEyMGFlYzc0ZWE1MGJlZjA4NmY3NTMiLCJ1c2VySWQiOiIyNzM3NDc2MDMifQ==</vt:lpwstr>
  </property>
  <property fmtid="{D5CDD505-2E9C-101B-9397-08002B2CF9AE}" pid="4" name="ICV">
    <vt:lpwstr>9AAA8BB6B9E140E29965A46B9F083D32_13</vt:lpwstr>
  </property>
</Properties>
</file>