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9100"/>
        <w:gridCol w:w="7"/>
      </w:tblGrid>
      <w:tr w14:paraId="1CE1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</w:tcPr>
          <w:p w14:paraId="49721581">
            <w:pPr>
              <w:pStyle w:val="35"/>
              <w:rPr>
                <w:rFonts w:hint="default"/>
              </w:rPr>
            </w:pPr>
            <w:r>
              <w:t>ICS</w:t>
            </w:r>
          </w:p>
        </w:tc>
        <w:tc>
          <w:tcPr>
            <w:tcW w:w="9107" w:type="dxa"/>
            <w:gridSpan w:val="2"/>
          </w:tcPr>
          <w:p w14:paraId="29C4CF95">
            <w:pPr>
              <w:pStyle w:val="35"/>
              <w:rPr>
                <w:rFonts w:hint="default"/>
              </w:rPr>
            </w:pPr>
            <w:r>
              <w:t>65.020.30</w:t>
            </w:r>
          </w:p>
        </w:tc>
      </w:tr>
      <w:tr w14:paraId="206B0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</w:tcPr>
          <w:p w14:paraId="28EEC651">
            <w:pPr>
              <w:pStyle w:val="35"/>
              <w:rPr>
                <w:rFonts w:hint="default"/>
              </w:rPr>
            </w:pPr>
            <w:r>
              <w:t>CCS</w:t>
            </w:r>
          </w:p>
        </w:tc>
        <w:tc>
          <w:tcPr>
            <w:tcW w:w="9107" w:type="dxa"/>
            <w:gridSpan w:val="2"/>
          </w:tcPr>
          <w:p w14:paraId="49F574EF">
            <w:pPr>
              <w:pStyle w:val="35"/>
              <w:rPr>
                <w:rFonts w:hint="default"/>
              </w:rPr>
            </w:pPr>
            <w:bookmarkStart w:id="0" w:name="CCS"/>
            <w:r>
              <w:t>B 43</w:t>
            </w:r>
            <w:bookmarkEnd w:id="0"/>
          </w:p>
          <w:tbl>
            <w:tblPr>
              <w:tblStyle w:val="11"/>
              <w:tblpPr w:vertAnchor="page" w:horzAnchor="margin" w:tblpXSpec="right" w:tblpY="114"/>
              <w:tblOverlap w:val="never"/>
              <w:tblW w:w="6662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662"/>
            </w:tblGrid>
            <w:tr w14:paraId="247B4E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1281" w:hRule="atLeast"/>
              </w:trPr>
              <w:tc>
                <w:tcPr>
                  <w:tcW w:w="9107" w:type="dxa"/>
                  <w:vAlign w:val="center"/>
                </w:tcPr>
                <w:p w14:paraId="699C05A5">
                  <w:pPr>
                    <w:pStyle w:val="35"/>
                    <w:ind w:firstLine="2764"/>
                    <w:jc w:val="right"/>
                    <w:rPr>
                      <w:rFonts w:hint="default" w:ascii="Times New Roman" w:eastAsia="宋体"/>
                      <w:b/>
                      <w:w w:val="130"/>
                      <w:kern w:val="0"/>
                    </w:rPr>
                  </w:pPr>
                  <w:r>
                    <w:rPr>
                      <w:rFonts w:hint="default" w:hAnsi="黑体" w:cs="楷体"/>
                      <w:b/>
                      <w:w w:val="130"/>
                      <w:kern w:val="0"/>
                      <w:sz w:val="96"/>
                    </w:rPr>
                    <w:t>T/CGFA</w:t>
                  </w:r>
                </w:p>
              </w:tc>
            </w:tr>
          </w:tbl>
          <w:p w14:paraId="1550CB9F">
            <w:pPr>
              <w:pStyle w:val="35"/>
              <w:rPr>
                <w:rFonts w:hint="default"/>
              </w:rPr>
            </w:pPr>
          </w:p>
        </w:tc>
      </w:tr>
      <w:tr w14:paraId="0B07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</w:trPr>
        <w:tc>
          <w:tcPr>
            <w:tcW w:w="9563" w:type="dxa"/>
            <w:gridSpan w:val="2"/>
          </w:tcPr>
          <w:p w14:paraId="46A6C041">
            <w:pPr>
              <w:pStyle w:val="36"/>
              <w:framePr w:wrap="around"/>
              <w:rPr>
                <w:szCs w:val="21"/>
              </w:rPr>
            </w:pPr>
            <w:r>
              <w:rPr>
                <w:rFonts w:hint="eastAsia"/>
              </w:rPr>
              <w:t>中国绿色食品协会团体标准</w:t>
            </w:r>
          </w:p>
        </w:tc>
      </w:tr>
    </w:tbl>
    <w:p w14:paraId="21626A7D">
      <w:pPr>
        <w:pStyle w:val="37"/>
        <w:framePr w:wrap="around" w:x="1470" w:y="3511"/>
        <w:rPr>
          <w:rFonts w:hint="default" w:eastAsia="黑体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T/CGFA</w:t>
      </w:r>
      <w:r>
        <w:rPr>
          <w:rFonts w:hint="eastAsia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XXXX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rFonts w:hint="eastAsia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2026</w:t>
      </w:r>
    </w:p>
    <w:p w14:paraId="2FA66440">
      <w:pPr>
        <w:pStyle w:val="37"/>
        <w:framePr w:wrap="around" w:x="1470" w:y="3511"/>
        <w:rPr>
          <w:rFonts w:hint="defau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11"/>
        <w:tblW w:w="97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1"/>
      </w:tblGrid>
      <w:tr w14:paraId="2EB6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1" w:type="dxa"/>
            <w:tcBorders>
              <w:top w:val="single" w:color="auto" w:sz="8" w:space="0"/>
            </w:tcBorders>
          </w:tcPr>
          <w:p w14:paraId="33D61C9B">
            <w:pPr>
              <w:pStyle w:val="38"/>
              <w:rPr>
                <w:rFonts w:hint="default"/>
                <w:sz w:val="10"/>
              </w:rPr>
            </w:pPr>
          </w:p>
        </w:tc>
      </w:tr>
    </w:tbl>
    <w:p w14:paraId="42FA5E29">
      <w:pPr>
        <w:pStyle w:val="25"/>
        <w:spacing w:beforeLines="50" w:afterLines="50" w:line="360" w:lineRule="auto"/>
        <w:ind w:left="0" w:leftChars="0" w:firstLine="0" w:firstLineChars="0"/>
        <w:contextualSpacing/>
        <w:jc w:val="both"/>
        <w:rPr>
          <w:rFonts w:ascii="黑体" w:hAnsi="黑体" w:eastAsia="黑体" w:cs="宋体"/>
          <w:sz w:val="18"/>
          <w:szCs w:val="18"/>
        </w:rPr>
      </w:pPr>
    </w:p>
    <w:p w14:paraId="02694F9E">
      <w:pPr>
        <w:pStyle w:val="25"/>
        <w:spacing w:beforeLines="50" w:afterLines="50" w:line="360" w:lineRule="auto"/>
        <w:ind w:left="357" w:firstLine="0" w:firstLineChars="0"/>
        <w:contextualSpacing/>
        <w:jc w:val="center"/>
        <w:rPr>
          <w:rFonts w:ascii="黑体" w:hAnsi="黑体" w:eastAsia="黑体" w:cs="宋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绿色食品</w:t>
      </w:r>
      <w:r>
        <w:rPr>
          <w:rFonts w:hint="eastAsia" w:ascii="黑体" w:hAnsi="黑体" w:eastAsia="黑体"/>
          <w:sz w:val="48"/>
          <w:szCs w:val="48"/>
          <w:lang w:val="en-US" w:eastAsia="zh-CN"/>
        </w:rPr>
        <w:t xml:space="preserve"> </w:t>
      </w:r>
      <w:r>
        <w:rPr>
          <w:rFonts w:hint="eastAsia" w:ascii="黑体" w:hAnsi="黑体" w:eastAsia="黑体" w:cs="宋体"/>
          <w:sz w:val="48"/>
          <w:szCs w:val="48"/>
          <w:lang w:eastAsia="zh-CN"/>
        </w:rPr>
        <w:t>云南地区普洱茶</w:t>
      </w:r>
      <w:r>
        <w:rPr>
          <w:rFonts w:hint="eastAsia" w:ascii="黑体" w:hAnsi="黑体" w:eastAsia="黑体"/>
          <w:sz w:val="48"/>
          <w:szCs w:val="48"/>
        </w:rPr>
        <w:t>生产操作规程</w:t>
      </w:r>
    </w:p>
    <w:p w14:paraId="5E42993E">
      <w:pPr>
        <w:pStyle w:val="25"/>
        <w:spacing w:beforeLines="50" w:afterLines="50" w:line="400" w:lineRule="atLeast"/>
        <w:ind w:left="357" w:firstLine="0" w:firstLineChars="0"/>
        <w:contextualSpacing/>
        <w:jc w:val="center"/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</w:pPr>
      <w:r>
        <w:rPr>
          <w:rStyle w:val="13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Code of Practice for Green Food Pu'er Tea Production in Yunnan Region</w:t>
      </w:r>
    </w:p>
    <w:p w14:paraId="6282E997">
      <w:pPr>
        <w:pStyle w:val="25"/>
        <w:spacing w:beforeLines="50" w:afterLines="50" w:line="400" w:lineRule="atLeast"/>
        <w:ind w:left="357" w:firstLine="0" w:firstLineChars="0"/>
        <w:contextualSpacing/>
        <w:jc w:val="center"/>
        <w:rPr>
          <w:rFonts w:ascii="黑体" w:hAnsi="黑体" w:eastAsia="黑体" w:cs="宋体"/>
          <w:sz w:val="32"/>
          <w:szCs w:val="32"/>
        </w:rPr>
      </w:pPr>
    </w:p>
    <w:p w14:paraId="60A47471">
      <w:pPr>
        <w:pStyle w:val="25"/>
        <w:spacing w:beforeLines="50" w:afterLines="50" w:line="400" w:lineRule="atLeast"/>
        <w:ind w:left="357" w:firstLine="0" w:firstLineChars="0"/>
        <w:contextualSpacing/>
        <w:jc w:val="center"/>
        <w:rPr>
          <w:rFonts w:ascii="黑体" w:hAnsi="黑体" w:eastAsia="黑体" w:cs="宋体"/>
          <w:sz w:val="32"/>
          <w:szCs w:val="32"/>
        </w:rPr>
      </w:pPr>
    </w:p>
    <w:p w14:paraId="7FD196BA">
      <w:pPr>
        <w:pStyle w:val="25"/>
        <w:spacing w:beforeLines="50" w:afterLines="50" w:line="400" w:lineRule="atLeast"/>
        <w:ind w:left="357" w:firstLine="0" w:firstLineChars="0"/>
        <w:contextualSpacing/>
        <w:jc w:val="center"/>
        <w:rPr>
          <w:rFonts w:hint="default" w:ascii="黑体" w:hAnsi="黑体" w:eastAsia="黑体" w:cs="宋体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（征求意见稿）</w:t>
      </w:r>
    </w:p>
    <w:p w14:paraId="443F0049">
      <w:pPr>
        <w:pStyle w:val="25"/>
        <w:spacing w:beforeLines="50" w:afterLines="50" w:line="400" w:lineRule="atLeast"/>
        <w:ind w:left="357" w:firstLine="0" w:firstLineChars="0"/>
        <w:contextualSpacing/>
        <w:jc w:val="center"/>
        <w:rPr>
          <w:rFonts w:ascii="黑体" w:hAnsi="黑体" w:eastAsia="黑体" w:cs="宋体"/>
          <w:sz w:val="28"/>
          <w:szCs w:val="28"/>
        </w:rPr>
      </w:pPr>
    </w:p>
    <w:p w14:paraId="564A63AC">
      <w:pPr>
        <w:pStyle w:val="25"/>
        <w:spacing w:beforeLines="50" w:afterLines="50" w:line="400" w:lineRule="atLeast"/>
        <w:ind w:left="357" w:firstLine="0" w:firstLineChars="0"/>
        <w:contextualSpacing/>
        <w:jc w:val="center"/>
        <w:rPr>
          <w:rFonts w:ascii="黑体" w:hAnsi="黑体" w:eastAsia="黑体" w:cs="宋体"/>
          <w:sz w:val="32"/>
          <w:szCs w:val="32"/>
        </w:rPr>
      </w:pPr>
    </w:p>
    <w:p w14:paraId="4D3BF88B">
      <w:pPr>
        <w:pStyle w:val="25"/>
        <w:spacing w:beforeLines="50" w:afterLines="50" w:line="400" w:lineRule="atLeast"/>
        <w:ind w:left="357" w:firstLine="0" w:firstLineChars="0"/>
        <w:contextualSpacing/>
        <w:jc w:val="center"/>
        <w:rPr>
          <w:rFonts w:ascii="黑体" w:hAnsi="黑体" w:eastAsia="黑体" w:cs="宋体"/>
          <w:sz w:val="32"/>
          <w:szCs w:val="32"/>
        </w:rPr>
      </w:pPr>
    </w:p>
    <w:p w14:paraId="21CB18A0">
      <w:pPr>
        <w:pStyle w:val="25"/>
        <w:spacing w:beforeLines="50" w:afterLines="50" w:line="400" w:lineRule="atLeast"/>
        <w:ind w:left="357" w:firstLine="0" w:firstLineChars="0"/>
        <w:contextualSpacing/>
        <w:jc w:val="center"/>
        <w:rPr>
          <w:rFonts w:ascii="黑体" w:hAnsi="黑体" w:eastAsia="黑体" w:cs="宋体"/>
          <w:sz w:val="32"/>
          <w:szCs w:val="32"/>
        </w:rPr>
      </w:pPr>
    </w:p>
    <w:p w14:paraId="523DE1CA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</w:p>
    <w:p w14:paraId="19927A39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</w:p>
    <w:p w14:paraId="151EA096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</w:p>
    <w:tbl>
      <w:tblPr>
        <w:tblStyle w:val="11"/>
        <w:tblW w:w="104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4"/>
        <w:gridCol w:w="5508"/>
      </w:tblGrid>
      <w:tr w14:paraId="3D26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4974" w:type="dxa"/>
            <w:tcBorders>
              <w:bottom w:val="single" w:color="auto" w:sz="8" w:space="0"/>
            </w:tcBorders>
            <w:tcMar>
              <w:left w:w="57" w:type="dxa"/>
              <w:bottom w:w="28" w:type="dxa"/>
            </w:tcMar>
          </w:tcPr>
          <w:p w14:paraId="0243600E">
            <w:pPr>
              <w:pStyle w:val="39"/>
              <w:framePr w:wrap="around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xxxx</w:t>
            </w:r>
            <w:r>
              <w:t xml:space="preserve"> </w:t>
            </w:r>
            <w:r>
              <w:rPr>
                <w:rFonts w:ascii="宋体" w:hAnsi="宋体" w:eastAsia="宋体" w:cs="宋体"/>
              </w:rPr>
              <w:t>–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xx</w:t>
            </w:r>
            <w:r>
              <w:t xml:space="preserve"> </w:t>
            </w:r>
            <w:r>
              <w:rPr>
                <w:rFonts w:ascii="宋体" w:hAnsi="宋体" w:eastAsia="宋体" w:cs="宋体"/>
              </w:rPr>
              <w:t>–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xx</w:t>
            </w:r>
            <w:r>
              <w:t xml:space="preserve"> 发布</w:t>
            </w:r>
          </w:p>
        </w:tc>
        <w:tc>
          <w:tcPr>
            <w:tcW w:w="5508" w:type="dxa"/>
            <w:tcBorders>
              <w:bottom w:val="single" w:color="auto" w:sz="8" w:space="0"/>
            </w:tcBorders>
            <w:tcMar>
              <w:right w:w="57" w:type="dxa"/>
            </w:tcMar>
          </w:tcPr>
          <w:p w14:paraId="79EE972E">
            <w:pPr>
              <w:pStyle w:val="39"/>
              <w:framePr w:wrap="around"/>
              <w:ind w:right="1120"/>
              <w:jc w:val="right"/>
              <w:rPr>
                <w:rFonts w:hint="default"/>
              </w:rPr>
            </w:pPr>
            <w:r>
              <w:t xml:space="preserve">    </w:t>
            </w:r>
            <w:r>
              <w:rPr>
                <w:rFonts w:hint="eastAsia"/>
                <w:lang w:val="en-US" w:eastAsia="zh-CN"/>
              </w:rPr>
              <w:t>xxxx</w:t>
            </w:r>
            <w:r>
              <w:t xml:space="preserve"> </w:t>
            </w:r>
            <w:r>
              <w:rPr>
                <w:rFonts w:ascii="宋体" w:hAnsi="宋体" w:eastAsia="宋体" w:cs="宋体"/>
              </w:rPr>
              <w:t>–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xx</w:t>
            </w:r>
            <w:r>
              <w:t xml:space="preserve"> </w:t>
            </w:r>
            <w:r>
              <w:rPr>
                <w:rFonts w:ascii="宋体" w:hAnsi="宋体" w:eastAsia="宋体" w:cs="宋体"/>
              </w:rPr>
              <w:t>–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xx</w:t>
            </w:r>
            <w:r>
              <w:t xml:space="preserve"> 实施</w:t>
            </w:r>
          </w:p>
        </w:tc>
      </w:tr>
    </w:tbl>
    <w:p w14:paraId="40DD53C2">
      <w:pPr>
        <w:framePr w:w="7433" w:h="584" w:hRule="exact" w:hSpace="181" w:vSpace="181" w:wrap="around" w:vAnchor="page" w:hAnchor="margin" w:xAlign="center" w:y="15151" w:anchorLock="1"/>
        <w:widowControl/>
        <w:spacing w:line="0" w:lineRule="atLeast"/>
        <w:jc w:val="center"/>
        <w:rPr>
          <w:rFonts w:ascii="黑体" w:hAnsi="黑体" w:eastAsia="黑体" w:cs="Times New Roman"/>
          <w:kern w:val="0"/>
          <w:sz w:val="44"/>
          <w:szCs w:val="44"/>
        </w:rPr>
      </w:pPr>
      <w:r>
        <w:rPr>
          <w:rFonts w:ascii="黑体" w:hAnsi="黑体" w:eastAsia="黑体" w:cs="Times New Roman"/>
          <w:spacing w:val="20"/>
          <w:kern w:val="0"/>
          <w:sz w:val="44"/>
          <w:szCs w:val="44"/>
        </w:rPr>
        <w:t>中国绿色食品协会</w:t>
      </w:r>
      <w:r>
        <w:rPr>
          <w:rFonts w:ascii="黑体" w:hAnsi="黑体" w:eastAsia="黑体" w:cs="Times New Roman"/>
          <w:kern w:val="0"/>
          <w:sz w:val="44"/>
          <w:szCs w:val="44"/>
        </w:rPr>
        <w:t xml:space="preserve">    </w:t>
      </w:r>
      <w:r>
        <w:rPr>
          <w:rFonts w:ascii="黑体" w:hAnsi="黑体" w:eastAsia="黑体" w:cs="Times New Roman"/>
          <w:kern w:val="0"/>
          <w:sz w:val="36"/>
          <w:szCs w:val="36"/>
        </w:rPr>
        <w:t>发布</w:t>
      </w:r>
    </w:p>
    <w:p w14:paraId="254F1FCC">
      <w:pPr>
        <w:tabs>
          <w:tab w:val="center" w:pos="4308"/>
          <w:tab w:val="left" w:pos="5280"/>
        </w:tabs>
        <w:jc w:val="both"/>
        <w:rPr>
          <w:rFonts w:eastAsia="黑体"/>
          <w:sz w:val="32"/>
          <w:szCs w:val="32"/>
        </w:rPr>
      </w:pPr>
    </w:p>
    <w:p w14:paraId="7810DC00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</w:p>
    <w:p w14:paraId="49AA271F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前    言</w:t>
      </w:r>
    </w:p>
    <w:p w14:paraId="007E3775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</w:p>
    <w:p w14:paraId="776B9687">
      <w:pPr>
        <w:pStyle w:val="25"/>
        <w:spacing w:beforeLines="50" w:afterLines="50" w:line="400" w:lineRule="atLeast"/>
        <w:ind w:firstLineChars="200"/>
        <w:contextualSpacing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本文件按照 GB/T 1.1-2020《标准化工作导则  第1部分：标准化文件的结构和起草规则》的规则起草。</w:t>
      </w:r>
    </w:p>
    <w:p w14:paraId="222598FB">
      <w:pPr>
        <w:pStyle w:val="25"/>
        <w:spacing w:beforeLines="50" w:afterLines="50" w:line="400" w:lineRule="atLeast"/>
        <w:ind w:firstLineChars="200"/>
        <w:contextualSpacing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请注意本文件的某些内容可能涉及专利，本文件的发布机构不承担识别专利的责任。</w:t>
      </w:r>
    </w:p>
    <w:p w14:paraId="365FB9ED">
      <w:pPr>
        <w:pStyle w:val="25"/>
        <w:spacing w:beforeLines="50" w:afterLines="50" w:line="400" w:lineRule="atLeast"/>
        <w:ind w:firstLineChars="200"/>
        <w:contextualSpacing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本文件由中国绿色食品发展中心提出。</w:t>
      </w:r>
    </w:p>
    <w:p w14:paraId="229E2BAB">
      <w:pPr>
        <w:pStyle w:val="25"/>
        <w:spacing w:beforeLines="50" w:afterLines="50" w:line="400" w:lineRule="atLeast"/>
        <w:ind w:firstLineChars="200"/>
        <w:contextualSpacing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本文件由中国绿色食品协会归口。</w:t>
      </w:r>
    </w:p>
    <w:p w14:paraId="14CB572D">
      <w:pPr>
        <w:spacing w:beforeLines="50" w:afterLines="50" w:line="400" w:lineRule="atLeast"/>
        <w:ind w:firstLineChars="200"/>
        <w:contextualSpacing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本</w:t>
      </w:r>
      <w:r>
        <w:rPr>
          <w:rFonts w:hint="eastAsia" w:ascii="宋体" w:hAnsi="宋体" w:eastAsia="宋体" w:cs="宋体"/>
          <w:lang w:eastAsia="zh-CN"/>
        </w:rPr>
        <w:t>文件</w:t>
      </w:r>
      <w:r>
        <w:rPr>
          <w:rFonts w:hint="eastAsia" w:ascii="宋体" w:hAnsi="宋体" w:eastAsia="宋体" w:cs="宋体"/>
        </w:rPr>
        <w:t>起草单位：</w:t>
      </w:r>
      <w:r>
        <w:rPr>
          <w:rFonts w:hint="eastAsia" w:ascii="宋体" w:hAnsi="宋体" w:cs="宋体"/>
          <w:lang w:val="en-US" w:eastAsia="zh-CN"/>
        </w:rPr>
        <w:t>*</w:t>
      </w:r>
    </w:p>
    <w:p w14:paraId="0EE0321B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 w:hAnsi="宋体"/>
        </w:rPr>
        <w:t>本</w:t>
      </w:r>
      <w:r>
        <w:rPr>
          <w:rFonts w:hint="eastAsia" w:ascii="宋体" w:hAnsi="宋体"/>
          <w:lang w:eastAsia="zh-CN"/>
        </w:rPr>
        <w:t>文件</w:t>
      </w:r>
      <w:r>
        <w:rPr>
          <w:rFonts w:hint="eastAsia" w:ascii="宋体" w:hAnsi="宋体"/>
        </w:rPr>
        <w:t>主要起草人：</w:t>
      </w:r>
      <w:r>
        <w:rPr>
          <w:rFonts w:hint="eastAsia" w:ascii="宋体" w:hAnsi="宋体"/>
          <w:lang w:val="en-US" w:eastAsia="zh-CN"/>
        </w:rPr>
        <w:t>*</w:t>
      </w:r>
    </w:p>
    <w:p w14:paraId="4F4084A7">
      <w:pPr>
        <w:rPr>
          <w:rFonts w:ascii="宋体"/>
        </w:rPr>
      </w:pPr>
      <w:r>
        <w:rPr>
          <w:rFonts w:ascii="宋体"/>
        </w:rPr>
        <w:br w:type="page"/>
      </w:r>
    </w:p>
    <w:p w14:paraId="2B4455ED">
      <w:pPr>
        <w:pStyle w:val="25"/>
        <w:spacing w:beforeLines="50" w:afterLines="50" w:line="400" w:lineRule="atLeast"/>
        <w:ind w:left="357" w:firstLine="0" w:firstLineChars="0"/>
        <w:contextualSpacing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绿色食品</w:t>
      </w:r>
      <w:r>
        <w:rPr>
          <w:rFonts w:hint="default" w:ascii="Times New Roman" w:hAnsi="Times New Roman" w:eastAsia="黑体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/>
          <w:sz w:val="32"/>
          <w:szCs w:val="32"/>
          <w:lang w:eastAsia="zh-CN"/>
        </w:rPr>
        <w:t>云南地区普洱茶</w:t>
      </w:r>
      <w:r>
        <w:rPr>
          <w:rFonts w:hint="default" w:ascii="Times New Roman" w:hAnsi="Times New Roman" w:eastAsia="黑体"/>
          <w:sz w:val="32"/>
          <w:szCs w:val="32"/>
        </w:rPr>
        <w:t>生产操作规程</w:t>
      </w:r>
    </w:p>
    <w:p w14:paraId="21733CDF">
      <w:pPr>
        <w:pStyle w:val="25"/>
        <w:spacing w:line="380" w:lineRule="exact"/>
        <w:ind w:firstLine="0" w:firstLineChars="0"/>
        <w:contextualSpacing/>
        <w:rPr>
          <w:rFonts w:ascii="Times New Roman" w:hAnsi="Times New Roman" w:eastAsia="黑体" w:cs="Times New Roman"/>
        </w:rPr>
      </w:pPr>
    </w:p>
    <w:p w14:paraId="1A0A9A21">
      <w:pPr>
        <w:spacing w:line="360" w:lineRule="auto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default" w:ascii="Times New Roman" w:hAnsi="Times New Roman" w:eastAsia="黑体" w:cs="Times New Roman"/>
          <w:bCs/>
          <w:szCs w:val="21"/>
        </w:rPr>
        <w:t xml:space="preserve">1 范围 </w:t>
      </w:r>
    </w:p>
    <w:p w14:paraId="1B9A552D">
      <w:pPr>
        <w:pStyle w:val="25"/>
        <w:spacing w:line="380" w:lineRule="exact"/>
        <w:contextualSpacing/>
        <w:rPr>
          <w:rFonts w:ascii="Times New Roman" w:cs="Times New Roman"/>
          <w:kern w:val="0"/>
        </w:rPr>
      </w:pPr>
      <w:r>
        <w:rPr>
          <w:rFonts w:hint="default" w:ascii="Times New Roman" w:hAnsi="Times New Roman"/>
          <w:szCs w:val="21"/>
        </w:rPr>
        <w:t>本规程规定了</w:t>
      </w:r>
      <w:r>
        <w:rPr>
          <w:rFonts w:hint="eastAsia" w:ascii="Times New Roman" w:hAnsi="Times New Roman"/>
          <w:szCs w:val="21"/>
          <w:lang w:eastAsia="zh-CN"/>
        </w:rPr>
        <w:t>云南地区</w:t>
      </w:r>
      <w:r>
        <w:rPr>
          <w:rFonts w:hint="default" w:ascii="Times New Roman" w:hAnsi="Times New Roman"/>
          <w:szCs w:val="21"/>
        </w:rPr>
        <w:t>绿色食品普洱茶的</w:t>
      </w:r>
      <w:r>
        <w:rPr>
          <w:rFonts w:hint="default" w:ascii="Times New Roman" w:hAnsi="Times New Roman" w:cs="Times New Roman"/>
          <w:kern w:val="0"/>
        </w:rPr>
        <w:t>产地环境、茶园规划与建设、品种及茶苗选择、茶树种植、树冠管理、土壤管理与施肥、</w:t>
      </w:r>
      <w:r>
        <w:rPr>
          <w:rFonts w:hint="eastAsia" w:cs="Times New Roman"/>
          <w:kern w:val="0"/>
          <w:lang w:eastAsia="zh-CN"/>
        </w:rPr>
        <w:t>病虫草害防治</w:t>
      </w:r>
      <w:r>
        <w:rPr>
          <w:rFonts w:hint="default" w:ascii="Times New Roman" w:hAnsi="Times New Roman" w:cs="Times New Roman"/>
          <w:kern w:val="0"/>
        </w:rPr>
        <w:t>、鲜叶采摘、茶叶加工、生产废弃物的处理、包装、储藏和运输及生产档案。</w:t>
      </w:r>
    </w:p>
    <w:p w14:paraId="0E04F4DA">
      <w:pPr>
        <w:spacing w:line="360" w:lineRule="auto"/>
        <w:ind w:firstLine="420" w:firstLineChars="200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>本规程适用于云南省的绿色食品普洱茶生产。</w:t>
      </w:r>
    </w:p>
    <w:p w14:paraId="12E22B34">
      <w:pPr>
        <w:spacing w:line="360" w:lineRule="auto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default" w:ascii="Times New Roman" w:hAnsi="Times New Roman" w:eastAsia="黑体" w:cs="Times New Roman"/>
          <w:bCs/>
          <w:szCs w:val="21"/>
        </w:rPr>
        <w:t>2 规范性引用文件</w:t>
      </w:r>
    </w:p>
    <w:p w14:paraId="6770BF6E"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下列文件中的条款通过本规范的引用而成为本规范的条款。凡是注日期的引用文件，其随后所有的修改单（不包括勘误的内容）或修订版均不适用于本规范，凡是不注日期的引用文件，其最新版本适用于本标准。 </w:t>
      </w:r>
    </w:p>
    <w:p w14:paraId="618373CA">
      <w:pPr>
        <w:pStyle w:val="25"/>
        <w:spacing w:line="380" w:lineRule="exact"/>
        <w:contextualSpacing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GB 2763 食品中农药最大残留限量</w:t>
      </w:r>
    </w:p>
    <w:p w14:paraId="507E99A3">
      <w:pPr>
        <w:pStyle w:val="25"/>
        <w:spacing w:line="380" w:lineRule="exact"/>
        <w:contextualSpacing/>
        <w:rPr>
          <w:rFonts w:hint="default"/>
        </w:rPr>
      </w:pPr>
      <w:r>
        <w:rPr>
          <w:rFonts w:hint="default"/>
        </w:rPr>
        <w:t>GB 7718 预包装食品标签通则</w:t>
      </w:r>
    </w:p>
    <w:p w14:paraId="2E4285CF">
      <w:pPr>
        <w:pStyle w:val="25"/>
        <w:spacing w:line="380" w:lineRule="exact"/>
        <w:contextualSpacing/>
        <w:rPr>
          <w:rFonts w:hint="default"/>
        </w:rPr>
      </w:pPr>
      <w:r>
        <w:rPr>
          <w:rFonts w:hint="default"/>
        </w:rPr>
        <w:t>GB 11767 茶树种苗</w:t>
      </w:r>
    </w:p>
    <w:p w14:paraId="17F758D6">
      <w:pPr>
        <w:pStyle w:val="25"/>
        <w:spacing w:line="380" w:lineRule="exact"/>
        <w:contextualSpacing/>
        <w:rPr>
          <w:rFonts w:hint="default"/>
        </w:rPr>
      </w:pPr>
      <w:r>
        <w:rPr>
          <w:rFonts w:hint="default"/>
        </w:rPr>
        <w:t>GB14881 食品生产通用卫生规范</w:t>
      </w:r>
    </w:p>
    <w:p w14:paraId="1F89A60C"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GB/T 22111 地理标志产品普洱茶</w:t>
      </w:r>
    </w:p>
    <w:p w14:paraId="5808ACD4">
      <w:pPr>
        <w:pStyle w:val="25"/>
        <w:spacing w:line="380" w:lineRule="exact"/>
        <w:contextualSpacing/>
        <w:rPr>
          <w:rFonts w:hint="default"/>
        </w:rPr>
      </w:pPr>
      <w:r>
        <w:rPr>
          <w:rFonts w:hint="default"/>
        </w:rPr>
        <w:t>GB/T 32744 茶叶加工良好规范</w:t>
      </w:r>
    </w:p>
    <w:p w14:paraId="445B2566">
      <w:pPr>
        <w:pStyle w:val="25"/>
        <w:spacing w:line="380" w:lineRule="exact"/>
        <w:ind w:firstLineChars="200"/>
        <w:contextualSpacing/>
        <w:rPr>
          <w:rFonts w:hint="default" w:ascii="Times New Roman" w:hAnsi="Times New Roman" w:cs="Times New Roman"/>
          <w:szCs w:val="21"/>
        </w:rPr>
      </w:pPr>
      <w:r>
        <w:rPr>
          <w:rFonts w:hint="default"/>
        </w:rPr>
        <w:t>GB 4806.8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食品接触用纸和纸板材料及制品</w:t>
      </w:r>
    </w:p>
    <w:p w14:paraId="78B04B46">
      <w:pPr>
        <w:pStyle w:val="25"/>
        <w:spacing w:line="380" w:lineRule="exact"/>
        <w:contextualSpacing/>
        <w:rPr>
          <w:rFonts w:hint="default"/>
        </w:rPr>
      </w:pPr>
      <w:r>
        <w:rPr>
          <w:rFonts w:hint="default"/>
        </w:rPr>
        <w:t>NY/T 288 绿色食品  茶叶</w:t>
      </w:r>
    </w:p>
    <w:p w14:paraId="36416321">
      <w:pPr>
        <w:pStyle w:val="25"/>
        <w:spacing w:line="380" w:lineRule="exact"/>
        <w:contextualSpacing/>
        <w:rPr>
          <w:rFonts w:hint="default"/>
        </w:rPr>
      </w:pPr>
      <w:r>
        <w:rPr>
          <w:rFonts w:hint="default"/>
        </w:rPr>
        <w:t>NY/T 391 绿色食品 产地环境质量</w:t>
      </w:r>
    </w:p>
    <w:p w14:paraId="23728ECF">
      <w:pPr>
        <w:pStyle w:val="25"/>
        <w:spacing w:line="380" w:lineRule="exact"/>
        <w:contextualSpacing/>
        <w:rPr>
          <w:rFonts w:hint="eastAsia" w:eastAsia="宋体"/>
          <w:lang w:eastAsia="zh-CN"/>
        </w:rPr>
      </w:pPr>
      <w:r>
        <w:rPr>
          <w:rFonts w:hint="default"/>
        </w:rPr>
        <w:t>NY/T 39</w:t>
      </w:r>
      <w:r>
        <w:rPr>
          <w:rFonts w:hint="eastAsia"/>
          <w:lang w:val="en-US" w:eastAsia="zh-CN"/>
        </w:rPr>
        <w:t>2</w:t>
      </w:r>
      <w:r>
        <w:rPr>
          <w:rFonts w:hint="default"/>
        </w:rPr>
        <w:t xml:space="preserve"> 绿色食品 </w:t>
      </w:r>
      <w:r>
        <w:rPr>
          <w:rFonts w:hint="eastAsia"/>
          <w:lang w:eastAsia="zh-CN"/>
        </w:rPr>
        <w:t>食品添加剂使用准则</w:t>
      </w:r>
    </w:p>
    <w:p w14:paraId="74CAC749">
      <w:pPr>
        <w:pStyle w:val="25"/>
        <w:spacing w:line="380" w:lineRule="exact"/>
        <w:contextualSpacing/>
        <w:rPr>
          <w:rFonts w:hint="default"/>
        </w:rPr>
      </w:pPr>
      <w:r>
        <w:rPr>
          <w:rFonts w:hint="default"/>
        </w:rPr>
        <w:t>NY/T 393 绿色食品 农药使用准则</w:t>
      </w:r>
    </w:p>
    <w:p w14:paraId="571E1B3B">
      <w:pPr>
        <w:pStyle w:val="25"/>
        <w:spacing w:line="380" w:lineRule="exact"/>
        <w:contextualSpacing/>
        <w:rPr>
          <w:rFonts w:hint="default"/>
        </w:rPr>
      </w:pPr>
      <w:r>
        <w:rPr>
          <w:rFonts w:hint="default"/>
        </w:rPr>
        <w:t>NY/T 394 绿色食品 肥料使用准则</w:t>
      </w:r>
    </w:p>
    <w:p w14:paraId="0B5DC60D">
      <w:pPr>
        <w:pStyle w:val="25"/>
        <w:spacing w:line="380" w:lineRule="exact"/>
        <w:contextualSpacing/>
        <w:rPr>
          <w:rFonts w:hint="default"/>
        </w:rPr>
      </w:pPr>
      <w:r>
        <w:rPr>
          <w:rFonts w:hint="default"/>
        </w:rPr>
        <w:t>NY/T 658 绿色食品 包装通用准则</w:t>
      </w:r>
    </w:p>
    <w:p w14:paraId="2B283FD8">
      <w:pPr>
        <w:pStyle w:val="25"/>
        <w:spacing w:line="380" w:lineRule="exact"/>
        <w:contextualSpacing/>
        <w:rPr>
          <w:rFonts w:hint="default"/>
        </w:rPr>
      </w:pPr>
      <w:r>
        <w:rPr>
          <w:rFonts w:hint="eastAsia"/>
          <w:lang w:val="en-US" w:eastAsia="zh-CN"/>
        </w:rPr>
        <w:t>NY/T 853 茶叶产地环境技术条件</w:t>
      </w:r>
    </w:p>
    <w:p w14:paraId="5358DC87">
      <w:pPr>
        <w:pStyle w:val="25"/>
        <w:spacing w:line="380" w:lineRule="exact"/>
        <w:contextualSpacing/>
        <w:rPr>
          <w:rFonts w:hint="default"/>
        </w:rPr>
      </w:pPr>
      <w:r>
        <w:rPr>
          <w:rFonts w:hint="default"/>
        </w:rPr>
        <w:t xml:space="preserve">NY/T 1056 绿色食品 </w:t>
      </w:r>
      <w:r>
        <w:rPr>
          <w:rFonts w:hint="default" w:ascii="Times New Roman" w:cs="Times New Roman"/>
          <w:lang w:eastAsia="zh-CN"/>
        </w:rPr>
        <w:t>储</w:t>
      </w:r>
      <w:r>
        <w:rPr>
          <w:rFonts w:hint="default"/>
        </w:rPr>
        <w:t>藏运输准则</w:t>
      </w:r>
    </w:p>
    <w:p w14:paraId="643A2186">
      <w:pPr>
        <w:pStyle w:val="25"/>
        <w:spacing w:line="380" w:lineRule="exact"/>
        <w:contextualSpacing/>
        <w:rPr>
          <w:rFonts w:hint="eastAsia" w:eastAsia="宋体"/>
          <w:lang w:eastAsia="zh-CN"/>
        </w:rPr>
      </w:pPr>
      <w:r>
        <w:rPr>
          <w:rFonts w:hint="default"/>
        </w:rPr>
        <w:t xml:space="preserve">NY/T </w:t>
      </w:r>
      <w:r>
        <w:rPr>
          <w:rFonts w:hint="eastAsia"/>
          <w:lang w:val="en-US" w:eastAsia="zh-CN"/>
        </w:rPr>
        <w:t>5197</w:t>
      </w:r>
      <w:r>
        <w:rPr>
          <w:rFonts w:hint="default"/>
        </w:rPr>
        <w:t xml:space="preserve"> </w:t>
      </w:r>
      <w:r>
        <w:rPr>
          <w:rFonts w:hint="eastAsia"/>
          <w:lang w:eastAsia="zh-CN"/>
        </w:rPr>
        <w:t>有机茶生产技术规程</w:t>
      </w:r>
    </w:p>
    <w:p w14:paraId="3DA20972">
      <w:pPr>
        <w:spacing w:line="360" w:lineRule="auto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default" w:ascii="Times New Roman" w:hAnsi="Times New Roman" w:eastAsia="黑体" w:cs="Times New Roman"/>
          <w:bCs/>
          <w:szCs w:val="21"/>
        </w:rPr>
        <w:t>3 产地环境</w:t>
      </w:r>
    </w:p>
    <w:p w14:paraId="5674D099">
      <w:pPr>
        <w:pStyle w:val="25"/>
        <w:spacing w:line="380" w:lineRule="exact"/>
        <w:contextualSpacing/>
        <w:rPr>
          <w:rFonts w:ascii="Times New Roman" w:cs="Times New Roman"/>
        </w:rPr>
      </w:pPr>
      <w:r>
        <w:rPr>
          <w:rFonts w:hint="eastAsia" w:cs="Times New Roman"/>
          <w:lang w:eastAsia="zh-CN"/>
        </w:rPr>
        <w:t>茶园</w:t>
      </w:r>
      <w:r>
        <w:rPr>
          <w:rFonts w:hint="default"/>
        </w:rPr>
        <w:t>产地环境质量应符合NY/T 391的规定。</w:t>
      </w:r>
      <w:r>
        <w:rPr>
          <w:rFonts w:hint="eastAsia"/>
          <w:lang w:eastAsia="zh-CN"/>
        </w:rPr>
        <w:t>绿色食品普洱茶生产应</w:t>
      </w:r>
      <w:r>
        <w:rPr>
          <w:rFonts w:hint="default"/>
        </w:rPr>
        <w:t>选择生态环境良好、无污染的地区，远离工矿区、公路铁路干线和生活区。产地应距离公路、铁路、生活区50 m以上，距离工矿企业1 km以上，确保上风向和灌水上游无污染源。产地与常规生产区农田间设置缓冲隔离带，宽度8 m左右</w:t>
      </w:r>
      <w:r>
        <w:rPr>
          <w:rFonts w:hint="eastAsia"/>
          <w:lang w:eastAsia="zh-CN"/>
        </w:rPr>
        <w:t>。</w:t>
      </w:r>
    </w:p>
    <w:p w14:paraId="2657DF54">
      <w:pPr>
        <w:pStyle w:val="25"/>
        <w:spacing w:before="156" w:beforeLines="50" w:after="156" w:afterLines="50" w:line="360" w:lineRule="auto"/>
        <w:ind w:firstLine="0" w:firstLineChars="0"/>
        <w:contextualSpacing/>
        <w:rPr>
          <w:rFonts w:hint="eastAsia" w:ascii="Times New Roman" w:hAnsi="Times New Roman" w:eastAsia="黑体" w:cs="Times New Roman"/>
          <w:bCs/>
          <w:szCs w:val="21"/>
          <w:lang w:eastAsia="zh-CN"/>
        </w:rPr>
      </w:pPr>
      <w:r>
        <w:rPr>
          <w:rFonts w:hint="eastAsia" w:eastAsia="黑体" w:cs="Times New Roman"/>
          <w:bCs/>
          <w:szCs w:val="21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Cs/>
          <w:szCs w:val="21"/>
        </w:rPr>
        <w:t xml:space="preserve"> </w:t>
      </w:r>
      <w:r>
        <w:rPr>
          <w:rFonts w:hint="eastAsia" w:eastAsia="黑体" w:cs="Times New Roman"/>
          <w:bCs/>
          <w:szCs w:val="21"/>
          <w:lang w:eastAsia="zh-CN"/>
        </w:rPr>
        <w:t>茶园规划与建设</w:t>
      </w:r>
    </w:p>
    <w:p w14:paraId="52DBEA9A">
      <w:pPr>
        <w:pStyle w:val="25"/>
        <w:spacing w:before="0" w:beforeLines="-2147483648" w:after="0" w:afterLines="-2147483648" w:line="380" w:lineRule="exact"/>
        <w:ind w:firstLine="0" w:firstLineChars="0"/>
        <w:contextualSpacing/>
        <w:rPr>
          <w:rFonts w:hint="eastAsia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4.1园地选择</w:t>
      </w:r>
    </w:p>
    <w:p w14:paraId="446DF985">
      <w:pPr>
        <w:pStyle w:val="25"/>
        <w:spacing w:line="380" w:lineRule="exact"/>
        <w:contextualSpacing/>
        <w:rPr>
          <w:rFonts w:hint="default" w:ascii="Times New Roman" w:hAnsi="Times New Roman" w:eastAsia="宋体" w:cs="Times New Roman"/>
          <w:highlight w:val="none"/>
        </w:rPr>
      </w:pPr>
      <w:r>
        <w:rPr>
          <w:rFonts w:hint="default" w:ascii="Times New Roman" w:hAnsi="Times New Roman" w:eastAsia="宋体" w:cs="Times New Roman"/>
          <w:highlight w:val="none"/>
        </w:rPr>
        <w:t>具备常规茶园所要求的条件和环境。整地：平地和15度以下缓坡地等高建园，坡度在10</w:t>
      </w:r>
      <w:r>
        <w:rPr>
          <w:rFonts w:hint="default" w:ascii="Times New Roman" w:hAnsi="Times New Roman" w:eastAsia="宋体" w:cs="Times New Roman"/>
          <w:b w:val="0"/>
          <w:highlight w:val="none"/>
        </w:rPr>
        <w:t>～</w:t>
      </w:r>
      <w:r>
        <w:rPr>
          <w:rFonts w:hint="default" w:ascii="Times New Roman" w:hAnsi="Times New Roman" w:eastAsia="宋体" w:cs="Times New Roman"/>
          <w:highlight w:val="none"/>
        </w:rPr>
        <w:t>15度的山地建立等高梯级园地，由下而上开挖建园，梯面宽不小于2米，熟地建园把底土翻上，表土翻下，打碎土块后平整；开挖种植沟宽80</w:t>
      </w:r>
      <w:r>
        <w:rPr>
          <w:rFonts w:hint="default" w:ascii="Times New Roman" w:hAnsi="Times New Roman" w:eastAsia="宋体" w:cs="Times New Roman"/>
          <w:b w:val="0"/>
          <w:highlight w:val="none"/>
        </w:rPr>
        <w:t>cm</w:t>
      </w:r>
      <w:r>
        <w:rPr>
          <w:rFonts w:hint="default" w:ascii="Times New Roman" w:hAnsi="Times New Roman" w:eastAsia="宋体" w:cs="Times New Roman"/>
          <w:highlight w:val="none"/>
        </w:rPr>
        <w:t>，深60</w:t>
      </w:r>
      <w:r>
        <w:rPr>
          <w:rFonts w:hint="default" w:ascii="Times New Roman" w:hAnsi="Times New Roman" w:eastAsia="宋体" w:cs="Times New Roman"/>
          <w:b w:val="0"/>
          <w:highlight w:val="none"/>
        </w:rPr>
        <w:t>cm</w:t>
      </w:r>
      <w:r>
        <w:rPr>
          <w:rFonts w:hint="default" w:ascii="Times New Roman" w:hAnsi="Times New Roman" w:eastAsia="宋体" w:cs="Times New Roman"/>
          <w:highlight w:val="none"/>
        </w:rPr>
        <w:t>；20度以上的陡坡地建议不新发展茶园。</w:t>
      </w:r>
    </w:p>
    <w:p w14:paraId="326D7BCF">
      <w:pPr>
        <w:pStyle w:val="25"/>
        <w:spacing w:before="156" w:beforeLines="50" w:after="156" w:afterLines="50" w:line="360" w:lineRule="auto"/>
        <w:ind w:firstLine="0" w:firstLineChars="0"/>
        <w:contextualSpacing/>
        <w:rPr>
          <w:rFonts w:hint="eastAsia" w:eastAsia="黑体" w:cs="Times New Roman"/>
          <w:bCs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Cs w:val="21"/>
          <w:highlight w:val="none"/>
          <w:lang w:val="en-US" w:eastAsia="zh-CN"/>
        </w:rPr>
        <w:t>4.2</w:t>
      </w:r>
      <w:r>
        <w:rPr>
          <w:rFonts w:hint="eastAsia" w:eastAsia="黑体" w:cs="Times New Roman"/>
          <w:bCs/>
          <w:szCs w:val="21"/>
          <w:highlight w:val="none"/>
          <w:lang w:val="en-US" w:eastAsia="zh-CN"/>
        </w:rPr>
        <w:t>道路建设</w:t>
      </w:r>
    </w:p>
    <w:p w14:paraId="7E95BEBA">
      <w:pPr>
        <w:pStyle w:val="25"/>
        <w:spacing w:before="156" w:beforeLines="50" w:after="156" w:afterLines="50" w:line="360" w:lineRule="auto"/>
        <w:ind w:firstLine="0" w:firstLineChars="0"/>
        <w:contextualSpacing/>
        <w:rPr>
          <w:rFonts w:hint="eastAsia" w:asciiTheme="majorEastAsia" w:hAnsiTheme="majorEastAsia" w:eastAsiaTheme="majorEastAsia" w:cstheme="majorEastAsia"/>
          <w:bCs/>
          <w:szCs w:val="21"/>
          <w:highlight w:val="none"/>
          <w:lang w:val="en-US" w:eastAsia="zh-CN"/>
        </w:rPr>
      </w:pPr>
      <w:r>
        <w:rPr>
          <w:rFonts w:hint="eastAsia" w:eastAsia="黑体" w:cs="Times New Roman"/>
          <w:bCs/>
          <w:szCs w:val="21"/>
          <w:highlight w:val="non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Cs/>
          <w:szCs w:val="21"/>
          <w:highlight w:val="none"/>
          <w:lang w:val="en-US" w:eastAsia="zh-CN"/>
        </w:rPr>
        <w:t>据茶园基地规模、地形条件，因地制宜设置道路系统。规模较大的茶园基地应合理规划主道、支道、步道和地头道；受地形限制的山区茶园，可根据实际条件设置作业便道，确保农资运输和鲜叶采收畅通。</w:t>
      </w:r>
    </w:p>
    <w:p w14:paraId="38504089">
      <w:pPr>
        <w:pStyle w:val="25"/>
        <w:spacing w:before="156" w:beforeLines="50" w:after="156" w:afterLines="50" w:line="360" w:lineRule="auto"/>
        <w:ind w:firstLine="0" w:firstLineChars="0"/>
        <w:contextualSpacing/>
        <w:rPr>
          <w:rFonts w:hint="eastAsia" w:eastAsia="黑体" w:cs="Times New Roman"/>
          <w:bCs/>
          <w:szCs w:val="21"/>
          <w:highlight w:val="none"/>
          <w:lang w:val="en-US" w:eastAsia="zh-CN"/>
        </w:rPr>
      </w:pPr>
      <w:r>
        <w:rPr>
          <w:rFonts w:hint="eastAsia" w:eastAsia="黑体" w:cs="Times New Roman"/>
          <w:bCs/>
          <w:szCs w:val="21"/>
          <w:highlight w:val="none"/>
          <w:lang w:val="en-US" w:eastAsia="zh-CN"/>
        </w:rPr>
        <w:t>4.3 水利系统</w:t>
      </w:r>
    </w:p>
    <w:p w14:paraId="52FB2068">
      <w:pPr>
        <w:pStyle w:val="25"/>
        <w:spacing w:before="156" w:beforeLines="50" w:after="156" w:afterLines="50" w:line="360" w:lineRule="auto"/>
        <w:ind w:firstLine="0" w:firstLineChars="0"/>
        <w:contextualSpacing/>
        <w:rPr>
          <w:rFonts w:hint="default" w:eastAsia="黑体" w:cs="Times New Roman"/>
          <w:bCs/>
          <w:szCs w:val="21"/>
          <w:highlight w:val="none"/>
          <w:lang w:val="en-US" w:eastAsia="zh-CN"/>
        </w:rPr>
      </w:pPr>
      <w:r>
        <w:rPr>
          <w:rFonts w:hint="eastAsia" w:eastAsia="黑体" w:cs="Times New Roman"/>
          <w:bCs/>
          <w:szCs w:val="21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Cs w:val="21"/>
          <w:highlight w:val="none"/>
          <w:lang w:val="en-US" w:eastAsia="zh-CN"/>
        </w:rPr>
        <w:t>根据茶园地形和水源条件，因地制宜建设水利设施，做到旱能蓄、涝能排；有条件的茶园宜建立节水灌溉系统，推广喷灌、滴灌等节水技术；山区茶园可利用自然地势建设山塘、水窖等蓄水设施，提高抗旱保水能力。</w:t>
      </w:r>
    </w:p>
    <w:p w14:paraId="1984C623">
      <w:pPr>
        <w:spacing w:line="360" w:lineRule="auto"/>
        <w:rPr>
          <w:rFonts w:hint="default" w:ascii="Times New Roman" w:hAnsi="Times New Roman" w:eastAsia="黑体" w:cs="Times New Roman"/>
          <w:bCs/>
          <w:szCs w:val="21"/>
          <w:highlight w:val="none"/>
        </w:rPr>
      </w:pPr>
      <w:r>
        <w:rPr>
          <w:rFonts w:hint="eastAsia" w:ascii="Times New Roman" w:hAnsi="Times New Roman" w:eastAsia="黑体" w:cs="Times New Roman"/>
          <w:bCs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Cs/>
          <w:szCs w:val="21"/>
          <w:highlight w:val="none"/>
        </w:rPr>
        <w:t>品种</w:t>
      </w:r>
      <w:r>
        <w:rPr>
          <w:rFonts w:hint="eastAsia" w:ascii="Times New Roman" w:hAnsi="Times New Roman" w:eastAsia="黑体" w:cs="Times New Roman"/>
          <w:bCs/>
          <w:szCs w:val="21"/>
          <w:highlight w:val="none"/>
          <w:lang w:eastAsia="zh-CN"/>
        </w:rPr>
        <w:t>及茶苗</w:t>
      </w:r>
      <w:r>
        <w:rPr>
          <w:rFonts w:hint="default" w:ascii="Times New Roman" w:hAnsi="Times New Roman" w:eastAsia="黑体" w:cs="Times New Roman"/>
          <w:bCs/>
          <w:szCs w:val="21"/>
          <w:highlight w:val="none"/>
        </w:rPr>
        <w:t>选择</w:t>
      </w:r>
    </w:p>
    <w:p w14:paraId="4004CB78">
      <w:pPr>
        <w:pStyle w:val="25"/>
        <w:tabs>
          <w:tab w:val="left" w:pos="142"/>
        </w:tabs>
        <w:spacing w:before="156" w:beforeLines="50" w:after="156" w:afterLines="50" w:line="360" w:lineRule="auto"/>
        <w:ind w:left="-1" w:firstLine="0" w:firstLineChars="0"/>
        <w:contextualSpacing/>
        <w:rPr>
          <w:rFonts w:hint="default" w:ascii="Times New Roman" w:hAnsi="Times New Roman" w:eastAsia="黑体" w:cs="Times New Roman"/>
          <w:bCs/>
          <w:highlight w:val="none"/>
        </w:rPr>
      </w:pPr>
      <w:r>
        <w:rPr>
          <w:rFonts w:hint="eastAsia" w:eastAsia="黑体" w:cs="Times New Roman"/>
          <w:bCs/>
          <w:highlight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Cs/>
          <w:highlight w:val="none"/>
        </w:rPr>
        <w:t>.1选择原则</w:t>
      </w:r>
    </w:p>
    <w:p w14:paraId="1D33FE9C">
      <w:pPr>
        <w:pStyle w:val="25"/>
        <w:tabs>
          <w:tab w:val="left" w:pos="142"/>
        </w:tabs>
        <w:spacing w:before="156" w:beforeLines="50" w:after="156" w:afterLines="50" w:line="360" w:lineRule="auto"/>
        <w:ind w:left="-1" w:firstLine="525" w:firstLineChars="250"/>
        <w:contextualSpacing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根据</w:t>
      </w:r>
      <w:r>
        <w:rPr>
          <w:rFonts w:hint="eastAsia" w:cs="Times New Roman"/>
          <w:highlight w:val="none"/>
          <w:lang w:val="en-US" w:eastAsia="zh-CN"/>
        </w:rPr>
        <w:t>茶树</w:t>
      </w:r>
      <w:r>
        <w:rPr>
          <w:rFonts w:hint="default" w:ascii="Times New Roman" w:hAnsi="Times New Roman" w:cs="Times New Roman"/>
          <w:highlight w:val="none"/>
        </w:rPr>
        <w:t>种植区域和生长特点选择适合当地生长的云南大叶种。</w:t>
      </w:r>
    </w:p>
    <w:p w14:paraId="4222661F">
      <w:pPr>
        <w:pStyle w:val="25"/>
        <w:tabs>
          <w:tab w:val="left" w:pos="142"/>
        </w:tabs>
        <w:spacing w:before="156" w:beforeLines="50" w:after="156" w:afterLines="50" w:line="360" w:lineRule="auto"/>
        <w:ind w:left="-1" w:firstLine="0" w:firstLineChars="0"/>
        <w:contextualSpacing/>
        <w:rPr>
          <w:rFonts w:hint="default" w:ascii="Times New Roman" w:hAnsi="Times New Roman" w:eastAsia="黑体" w:cs="Times New Roman"/>
          <w:bCs/>
          <w:highlight w:val="none"/>
        </w:rPr>
      </w:pPr>
      <w:r>
        <w:rPr>
          <w:rFonts w:hint="eastAsia" w:eastAsia="黑体" w:cs="Times New Roman"/>
          <w:bCs/>
          <w:highlight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Cs/>
          <w:highlight w:val="none"/>
        </w:rPr>
        <w:t>.2品种选用</w:t>
      </w:r>
    </w:p>
    <w:p w14:paraId="40D5DB41">
      <w:pPr>
        <w:pStyle w:val="25"/>
        <w:spacing w:before="156" w:beforeLines="50" w:after="156" w:afterLines="50" w:line="360" w:lineRule="auto"/>
        <w:contextualSpacing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 </w:t>
      </w:r>
      <w:r>
        <w:rPr>
          <w:rFonts w:hint="default" w:ascii="Times New Roman" w:hAnsi="Times New Roman"/>
          <w:highlight w:val="none"/>
        </w:rPr>
        <w:t>茶树品种应适应当地土壤和气候特点，具有较强抗逆性，</w:t>
      </w:r>
      <w:r>
        <w:rPr>
          <w:rFonts w:hint="default" w:ascii="Times New Roman" w:hAnsi="Times New Roman"/>
          <w:spacing w:val="13"/>
          <w:highlight w:val="none"/>
        </w:rPr>
        <w:t>并适制普洱茶类</w:t>
      </w:r>
      <w:r>
        <w:rPr>
          <w:rFonts w:hint="default" w:ascii="Times New Roman" w:hAnsi="Times New Roman"/>
          <w:spacing w:val="9"/>
          <w:highlight w:val="none"/>
        </w:rPr>
        <w:t>。</w:t>
      </w:r>
      <w:r>
        <w:rPr>
          <w:rFonts w:hint="default" w:ascii="Times New Roman" w:hAnsi="Times New Roman" w:cs="Times New Roman"/>
          <w:highlight w:val="none"/>
        </w:rPr>
        <w:t>主要以勐海大叶种、勐库大叶种、凤庆大叶种、云抗14号、云茶1号、云选9号等品种为主，</w:t>
      </w:r>
    </w:p>
    <w:p w14:paraId="28F08D4A">
      <w:pPr>
        <w:pStyle w:val="25"/>
        <w:tabs>
          <w:tab w:val="left" w:pos="142"/>
        </w:tabs>
        <w:spacing w:before="156" w:beforeLines="50" w:after="156" w:afterLines="50" w:line="360" w:lineRule="auto"/>
        <w:ind w:left="-1" w:firstLine="0" w:firstLineChars="0"/>
        <w:contextualSpacing/>
        <w:rPr>
          <w:rFonts w:hint="default" w:ascii="Times New Roman" w:hAnsi="Times New Roman" w:eastAsia="黑体" w:cs="Times New Roman"/>
          <w:bCs/>
          <w:highlight w:val="none"/>
          <w:lang w:val="en-US" w:eastAsia="zh-CN"/>
        </w:rPr>
      </w:pPr>
      <w:r>
        <w:rPr>
          <w:rFonts w:hint="eastAsia" w:eastAsia="黑体" w:cs="Times New Roman"/>
          <w:bCs/>
          <w:highlight w:val="none"/>
          <w:lang w:val="en-US" w:eastAsia="zh-CN"/>
        </w:rPr>
        <w:t>6 茶树种植</w:t>
      </w:r>
    </w:p>
    <w:p w14:paraId="2EEC8519">
      <w:pPr>
        <w:pStyle w:val="25"/>
        <w:tabs>
          <w:tab w:val="left" w:pos="142"/>
        </w:tabs>
        <w:spacing w:before="156" w:beforeLines="50" w:after="156" w:afterLines="50" w:line="360" w:lineRule="auto"/>
        <w:ind w:left="-1" w:firstLine="0" w:firstLineChars="0"/>
        <w:contextualSpacing/>
        <w:rPr>
          <w:rFonts w:hint="eastAsia" w:ascii="Times New Roman" w:hAnsi="Times New Roman" w:eastAsia="黑体" w:cs="Times New Roman"/>
          <w:bCs/>
          <w:highlight w:val="none"/>
        </w:rPr>
      </w:pPr>
      <w:r>
        <w:rPr>
          <w:rFonts w:hint="eastAsia" w:eastAsia="黑体" w:cs="Times New Roman"/>
          <w:bCs/>
          <w:highlight w:val="none"/>
          <w:lang w:val="en-US" w:eastAsia="zh-CN"/>
        </w:rPr>
        <w:t xml:space="preserve">6.1 </w:t>
      </w:r>
      <w:r>
        <w:rPr>
          <w:rFonts w:hint="eastAsia" w:ascii="Times New Roman" w:hAnsi="Times New Roman" w:eastAsia="黑体" w:cs="Times New Roman"/>
          <w:bCs/>
          <w:highlight w:val="none"/>
        </w:rPr>
        <w:t>茶苗移栽</w:t>
      </w:r>
    </w:p>
    <w:p w14:paraId="4381FACD">
      <w:pPr>
        <w:pStyle w:val="25"/>
        <w:spacing w:before="156" w:beforeLines="50" w:after="156" w:afterLines="50" w:line="360" w:lineRule="auto"/>
        <w:ind w:firstLine="0" w:firstLineChars="0"/>
        <w:contextualSpacing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6月中旬</w:t>
      </w:r>
      <w:r>
        <w:rPr>
          <w:rFonts w:hint="default" w:ascii="Times New Roman" w:hAnsi="Times New Roman" w:cs="Times New Roman"/>
          <w:b/>
          <w:highlight w:val="none"/>
        </w:rPr>
        <w:t>～</w:t>
      </w:r>
      <w:r>
        <w:rPr>
          <w:rFonts w:hint="default" w:ascii="Times New Roman" w:hAnsi="Times New Roman" w:cs="Times New Roman"/>
          <w:highlight w:val="none"/>
        </w:rPr>
        <w:t>9月上旬，单行种植行距150</w:t>
      </w:r>
      <w:r>
        <w:rPr>
          <w:rFonts w:hint="default" w:ascii="Times New Roman" w:hAnsi="Times New Roman" w:cs="Times New Roman"/>
          <w:b/>
          <w:highlight w:val="none"/>
        </w:rPr>
        <w:t>cm</w:t>
      </w:r>
      <w:r>
        <w:rPr>
          <w:rFonts w:hint="default" w:ascii="Times New Roman" w:hAnsi="Times New Roman" w:cs="Times New Roman"/>
          <w:highlight w:val="none"/>
        </w:rPr>
        <w:t>，株距30</w:t>
      </w:r>
      <w:r>
        <w:rPr>
          <w:rFonts w:hint="default" w:ascii="Times New Roman" w:hAnsi="Times New Roman" w:cs="Times New Roman"/>
          <w:b/>
          <w:highlight w:val="none"/>
        </w:rPr>
        <w:t>cm</w:t>
      </w:r>
      <w:r>
        <w:rPr>
          <w:rFonts w:hint="default" w:ascii="Times New Roman" w:hAnsi="Times New Roman" w:cs="Times New Roman"/>
          <w:highlight w:val="none"/>
        </w:rPr>
        <w:t>，亩植1200</w:t>
      </w:r>
      <w:r>
        <w:rPr>
          <w:rFonts w:hint="default" w:ascii="Times New Roman" w:hAnsi="Times New Roman" w:cs="Times New Roman"/>
          <w:b/>
          <w:highlight w:val="none"/>
        </w:rPr>
        <w:t>～</w:t>
      </w:r>
      <w:r>
        <w:rPr>
          <w:rFonts w:hint="default" w:ascii="Times New Roman" w:hAnsi="Times New Roman" w:cs="Times New Roman"/>
          <w:highlight w:val="none"/>
        </w:rPr>
        <w:t>1500株左右，双行种植大行距150cm</w:t>
      </w:r>
      <w:r>
        <w:rPr>
          <w:rFonts w:hint="default" w:ascii="Times New Roman" w:hAnsi="Times New Roman" w:cs="Times New Roman"/>
          <w:b/>
          <w:highlight w:val="none"/>
        </w:rPr>
        <w:t>～</w:t>
      </w:r>
      <w:r>
        <w:rPr>
          <w:rFonts w:hint="default" w:ascii="Times New Roman" w:hAnsi="Times New Roman" w:cs="Times New Roman"/>
          <w:highlight w:val="none"/>
        </w:rPr>
        <w:t>180</w:t>
      </w:r>
      <w:r>
        <w:rPr>
          <w:rFonts w:hint="default" w:ascii="Times New Roman" w:hAnsi="Times New Roman" w:cs="Times New Roman"/>
          <w:b/>
          <w:highlight w:val="none"/>
        </w:rPr>
        <w:t>cm</w:t>
      </w:r>
      <w:r>
        <w:rPr>
          <w:rFonts w:hint="default" w:ascii="Times New Roman" w:hAnsi="Times New Roman" w:cs="Times New Roman"/>
          <w:highlight w:val="none"/>
        </w:rPr>
        <w:t>，小行距30cm</w:t>
      </w:r>
      <w:r>
        <w:rPr>
          <w:rFonts w:hint="default" w:ascii="Times New Roman" w:hAnsi="Times New Roman" w:cs="Times New Roman"/>
          <w:b/>
          <w:highlight w:val="none"/>
        </w:rPr>
        <w:t>～</w:t>
      </w:r>
      <w:r>
        <w:rPr>
          <w:rFonts w:hint="default" w:ascii="Times New Roman" w:hAnsi="Times New Roman" w:cs="Times New Roman"/>
          <w:highlight w:val="none"/>
        </w:rPr>
        <w:t>40</w:t>
      </w:r>
      <w:r>
        <w:rPr>
          <w:rFonts w:hint="default" w:ascii="Times New Roman" w:hAnsi="Times New Roman" w:cs="Times New Roman"/>
          <w:b/>
          <w:highlight w:val="none"/>
        </w:rPr>
        <w:t>cm</w:t>
      </w:r>
      <w:r>
        <w:rPr>
          <w:rFonts w:hint="default" w:ascii="Times New Roman" w:hAnsi="Times New Roman" w:cs="Times New Roman"/>
          <w:highlight w:val="none"/>
        </w:rPr>
        <w:t>，株距30</w:t>
      </w:r>
      <w:r>
        <w:rPr>
          <w:rFonts w:hint="default" w:ascii="Times New Roman" w:hAnsi="Times New Roman" w:cs="Times New Roman"/>
          <w:b/>
          <w:highlight w:val="none"/>
        </w:rPr>
        <w:t>cm</w:t>
      </w:r>
      <w:r>
        <w:rPr>
          <w:rFonts w:hint="default" w:ascii="Times New Roman" w:hAnsi="Times New Roman" w:cs="Times New Roman"/>
          <w:highlight w:val="none"/>
        </w:rPr>
        <w:t>，亩植2</w:t>
      </w:r>
      <w:r>
        <w:rPr>
          <w:rFonts w:hint="eastAsia" w:cs="Times New Roman"/>
          <w:highlight w:val="none"/>
          <w:lang w:val="en-US" w:eastAsia="zh-CN"/>
        </w:rPr>
        <w:t>0</w:t>
      </w:r>
      <w:r>
        <w:rPr>
          <w:rFonts w:hint="default" w:ascii="Times New Roman" w:hAnsi="Times New Roman" w:cs="Times New Roman"/>
          <w:highlight w:val="none"/>
        </w:rPr>
        <w:t>00</w:t>
      </w:r>
      <w:r>
        <w:rPr>
          <w:rFonts w:hint="default" w:ascii="Times New Roman" w:hAnsi="Times New Roman" w:cs="Times New Roman"/>
          <w:b/>
          <w:highlight w:val="none"/>
        </w:rPr>
        <w:t>～</w:t>
      </w:r>
      <w:r>
        <w:rPr>
          <w:rFonts w:hint="default" w:ascii="Times New Roman" w:hAnsi="Times New Roman" w:cs="Times New Roman"/>
          <w:highlight w:val="none"/>
        </w:rPr>
        <w:t>2</w:t>
      </w:r>
      <w:r>
        <w:rPr>
          <w:rFonts w:hint="eastAsia" w:cs="Times New Roman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highlight w:val="none"/>
        </w:rPr>
        <w:t>00株左右，覆土高于</w:t>
      </w:r>
      <w:r>
        <w:rPr>
          <w:rFonts w:hint="eastAsia" w:cs="Times New Roman"/>
          <w:highlight w:val="none"/>
          <w:lang w:eastAsia="zh-CN"/>
        </w:rPr>
        <w:t>根茎</w:t>
      </w:r>
      <w:r>
        <w:rPr>
          <w:rFonts w:hint="default" w:ascii="Times New Roman" w:hAnsi="Times New Roman" w:cs="Times New Roman"/>
          <w:highlight w:val="none"/>
        </w:rPr>
        <w:t>处3cm</w:t>
      </w:r>
      <w:r>
        <w:rPr>
          <w:rFonts w:hint="default" w:ascii="Times New Roman" w:hAnsi="Times New Roman" w:cs="Times New Roman"/>
          <w:b/>
          <w:highlight w:val="none"/>
        </w:rPr>
        <w:t>～</w:t>
      </w:r>
      <w:r>
        <w:rPr>
          <w:rFonts w:hint="default" w:ascii="Times New Roman" w:hAnsi="Times New Roman" w:cs="Times New Roman"/>
          <w:highlight w:val="none"/>
        </w:rPr>
        <w:t>4</w:t>
      </w:r>
      <w:r>
        <w:rPr>
          <w:rFonts w:hint="default" w:ascii="Times New Roman" w:hAnsi="Times New Roman" w:cs="Times New Roman"/>
          <w:b/>
          <w:highlight w:val="none"/>
        </w:rPr>
        <w:t>cm</w:t>
      </w:r>
      <w:r>
        <w:rPr>
          <w:rFonts w:hint="default" w:ascii="Times New Roman" w:hAnsi="Times New Roman" w:cs="Times New Roman"/>
          <w:highlight w:val="none"/>
        </w:rPr>
        <w:t>。</w:t>
      </w:r>
    </w:p>
    <w:p w14:paraId="4D621AD9">
      <w:pPr>
        <w:pStyle w:val="25"/>
        <w:tabs>
          <w:tab w:val="left" w:pos="142"/>
        </w:tabs>
        <w:spacing w:before="156" w:beforeLines="50" w:after="156" w:afterLines="50" w:line="360" w:lineRule="auto"/>
        <w:ind w:left="-1" w:firstLine="0" w:firstLineChars="0"/>
        <w:contextualSpacing/>
        <w:rPr>
          <w:rFonts w:hint="eastAsia" w:ascii="Times New Roman" w:hAnsi="Times New Roman" w:eastAsia="黑体" w:cs="Times New Roman"/>
          <w:bCs/>
          <w:highlight w:val="none"/>
        </w:rPr>
      </w:pPr>
      <w:r>
        <w:rPr>
          <w:rFonts w:hint="eastAsia" w:eastAsia="黑体" w:cs="Times New Roman"/>
          <w:bCs/>
          <w:highlight w:val="none"/>
          <w:lang w:val="en-US" w:eastAsia="zh-CN"/>
        </w:rPr>
        <w:t xml:space="preserve">6.2 </w:t>
      </w:r>
      <w:r>
        <w:rPr>
          <w:rFonts w:hint="eastAsia" w:ascii="Times New Roman" w:hAnsi="Times New Roman" w:eastAsia="黑体" w:cs="Times New Roman"/>
          <w:bCs/>
          <w:highlight w:val="none"/>
        </w:rPr>
        <w:t>茶籽直播</w:t>
      </w:r>
    </w:p>
    <w:p w14:paraId="1FB95A96">
      <w:pPr>
        <w:pStyle w:val="25"/>
        <w:spacing w:before="156" w:beforeLines="50" w:after="156" w:afterLines="50" w:line="360" w:lineRule="auto"/>
        <w:ind w:firstLine="0" w:firstLineChars="0"/>
        <w:contextualSpacing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当年10月</w:t>
      </w:r>
      <w:r>
        <w:rPr>
          <w:rFonts w:hint="default" w:ascii="Times New Roman" w:hAnsi="Times New Roman" w:cs="Times New Roman"/>
          <w:b/>
          <w:highlight w:val="none"/>
        </w:rPr>
        <w:t>～</w:t>
      </w:r>
      <w:r>
        <w:rPr>
          <w:rFonts w:hint="default" w:ascii="Times New Roman" w:hAnsi="Times New Roman" w:cs="Times New Roman"/>
          <w:highlight w:val="none"/>
        </w:rPr>
        <w:t>次年1月，种植规格与茶苗</w:t>
      </w:r>
      <w:r>
        <w:rPr>
          <w:rFonts w:hint="eastAsia" w:cs="Times New Roman"/>
          <w:highlight w:val="none"/>
          <w:lang w:val="en-US" w:eastAsia="zh-CN"/>
        </w:rPr>
        <w:t>单行</w:t>
      </w:r>
      <w:r>
        <w:rPr>
          <w:rFonts w:hint="default" w:ascii="Times New Roman" w:hAnsi="Times New Roman" w:cs="Times New Roman"/>
          <w:highlight w:val="none"/>
        </w:rPr>
        <w:t>移栽相同，覆土5cm</w:t>
      </w:r>
      <w:r>
        <w:rPr>
          <w:rFonts w:hint="default" w:ascii="Times New Roman" w:hAnsi="Times New Roman" w:cs="Times New Roman"/>
          <w:b/>
          <w:highlight w:val="none"/>
        </w:rPr>
        <w:t>～</w:t>
      </w:r>
      <w:r>
        <w:rPr>
          <w:rFonts w:hint="default" w:ascii="Times New Roman" w:hAnsi="Times New Roman" w:cs="Times New Roman"/>
          <w:highlight w:val="none"/>
        </w:rPr>
        <w:t>6</w:t>
      </w:r>
      <w:r>
        <w:rPr>
          <w:rFonts w:hint="default" w:ascii="Times New Roman" w:hAnsi="Times New Roman" w:cs="Times New Roman"/>
          <w:b/>
          <w:highlight w:val="none"/>
        </w:rPr>
        <w:t>cm</w:t>
      </w:r>
      <w:r>
        <w:rPr>
          <w:rFonts w:hint="default" w:ascii="Times New Roman" w:hAnsi="Times New Roman" w:cs="Times New Roman"/>
          <w:highlight w:val="none"/>
        </w:rPr>
        <w:t>。</w:t>
      </w:r>
    </w:p>
    <w:p w14:paraId="4EB0961C">
      <w:pPr>
        <w:pStyle w:val="25"/>
        <w:tabs>
          <w:tab w:val="left" w:pos="142"/>
        </w:tabs>
        <w:spacing w:before="156" w:beforeLines="50" w:after="156" w:afterLines="50" w:line="360" w:lineRule="auto"/>
        <w:ind w:left="0" w:firstLine="0" w:firstLineChars="0"/>
        <w:contextualSpacing/>
        <w:rPr>
          <w:rFonts w:hint="default" w:ascii="Times New Roman" w:hAnsi="Times New Roman" w:eastAsia="黑体" w:cs="Times New Roman"/>
          <w:bCs/>
          <w:szCs w:val="21"/>
          <w:highlight w:val="none"/>
        </w:rPr>
      </w:pPr>
      <w:r>
        <w:rPr>
          <w:rFonts w:hint="eastAsia" w:eastAsia="黑体" w:cs="Times New Roman"/>
          <w:bCs/>
          <w:highlight w:val="none"/>
          <w:lang w:val="en-US" w:eastAsia="zh-CN"/>
        </w:rPr>
        <w:t>7 树冠管理</w:t>
      </w:r>
    </w:p>
    <w:p w14:paraId="68EBEA82"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生态普洱茶园因树制宜采用定型修剪，采取轻修剪、深修剪、重修剪和台刈等方法，培养或复壮树势；古树普洱茶园仅剪出病株、枯枝</w:t>
      </w:r>
      <w:r>
        <w:rPr>
          <w:rFonts w:hint="eastAsia" w:ascii="Times New Roman" w:hAnsi="Times New Roman" w:cs="Times New Roman"/>
          <w:szCs w:val="21"/>
          <w:highlight w:val="none"/>
          <w:lang w:eastAsia="zh-CN"/>
        </w:rPr>
        <w:t>、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徒长枝等</w:t>
      </w:r>
      <w:r>
        <w:rPr>
          <w:rFonts w:hint="default" w:ascii="Times New Roman" w:hAnsi="Times New Roman" w:cs="Times New Roman"/>
          <w:szCs w:val="21"/>
          <w:highlight w:val="none"/>
        </w:rPr>
        <w:t>。</w:t>
      </w:r>
    </w:p>
    <w:p w14:paraId="1E89E7D3">
      <w:pPr>
        <w:spacing w:line="360" w:lineRule="auto"/>
        <w:rPr>
          <w:rFonts w:hint="default" w:ascii="Times New Roman" w:hAnsi="Times New Roman" w:eastAsia="黑体" w:cs="Times New Roman"/>
          <w:bCs/>
          <w:szCs w:val="21"/>
          <w:highlight w:val="none"/>
        </w:rPr>
      </w:pPr>
      <w:r>
        <w:rPr>
          <w:rFonts w:hint="eastAsia" w:ascii="Times New Roman" w:hAnsi="Times New Roman" w:eastAsia="黑体" w:cs="Times New Roman"/>
          <w:bCs/>
          <w:szCs w:val="21"/>
          <w:highlight w:val="none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bCs/>
          <w:szCs w:val="21"/>
          <w:highlight w:val="none"/>
        </w:rPr>
        <w:t>.1定型修剪</w:t>
      </w:r>
    </w:p>
    <w:p w14:paraId="76B60885"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幼龄茶园、台刈改造茶园，采取2</w:t>
      </w:r>
      <w:r>
        <w:rPr>
          <w:rFonts w:hint="default" w:ascii="Times New Roman" w:hAnsi="Times New Roman" w:cs="Times New Roman"/>
          <w:b/>
          <w:szCs w:val="21"/>
          <w:highlight w:val="none"/>
        </w:rPr>
        <w:t>～</w:t>
      </w:r>
      <w:r>
        <w:rPr>
          <w:rFonts w:hint="default" w:ascii="Times New Roman" w:hAnsi="Times New Roman" w:cs="Times New Roman"/>
          <w:szCs w:val="21"/>
          <w:highlight w:val="none"/>
        </w:rPr>
        <w:t>3次定型修剪和一次整形修剪，期间要求封园养蓬，杜绝以采代剪。</w:t>
      </w:r>
    </w:p>
    <w:p w14:paraId="7C8818D3"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第一次定剪：苗高30cm左右，用整枝剪离地面15cm</w:t>
      </w:r>
      <w:r>
        <w:rPr>
          <w:rFonts w:hint="default" w:ascii="Times New Roman" w:hAnsi="Times New Roman" w:cs="Times New Roman"/>
          <w:b/>
          <w:szCs w:val="21"/>
          <w:highlight w:val="none"/>
        </w:rPr>
        <w:t>～</w:t>
      </w:r>
      <w:r>
        <w:rPr>
          <w:rFonts w:hint="default" w:ascii="Times New Roman" w:hAnsi="Times New Roman" w:cs="Times New Roman"/>
          <w:szCs w:val="21"/>
          <w:highlight w:val="none"/>
        </w:rPr>
        <w:t>20cm处剪去茶树主枝。</w:t>
      </w:r>
    </w:p>
    <w:p w14:paraId="3DC07FED"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第二次定剪：苗高50cm</w:t>
      </w:r>
      <w:r>
        <w:rPr>
          <w:rFonts w:hint="default" w:ascii="Times New Roman" w:hAnsi="Times New Roman" w:cs="Times New Roman"/>
          <w:b/>
          <w:szCs w:val="21"/>
          <w:highlight w:val="none"/>
        </w:rPr>
        <w:t>～</w:t>
      </w:r>
      <w:r>
        <w:rPr>
          <w:rFonts w:hint="default" w:ascii="Times New Roman" w:hAnsi="Times New Roman" w:cs="Times New Roman"/>
          <w:szCs w:val="21"/>
          <w:highlight w:val="none"/>
        </w:rPr>
        <w:t>55cm，用整枝剪离地面3</w:t>
      </w:r>
      <w:r>
        <w:rPr>
          <w:rFonts w:ascii="Times New Roman" w:hAnsi="Times New Roman" w:cs="Times New Roman"/>
          <w:szCs w:val="21"/>
          <w:highlight w:val="none"/>
        </w:rPr>
        <w:t>0</w:t>
      </w:r>
      <w:r>
        <w:rPr>
          <w:rFonts w:hint="default" w:ascii="Times New Roman" w:hAnsi="Times New Roman" w:cs="Times New Roman"/>
          <w:szCs w:val="21"/>
          <w:highlight w:val="none"/>
        </w:rPr>
        <w:t>cm左右剪去次生主梢，留养外侧腋芽，促使分枝向外生长。</w:t>
      </w:r>
    </w:p>
    <w:p w14:paraId="4D99A36A"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第三次定剪：苗高60cm</w:t>
      </w:r>
      <w:r>
        <w:rPr>
          <w:rFonts w:hint="default" w:ascii="Times New Roman" w:hAnsi="Times New Roman" w:cs="Times New Roman"/>
          <w:b/>
          <w:szCs w:val="21"/>
          <w:highlight w:val="none"/>
        </w:rPr>
        <w:t>～</w:t>
      </w:r>
      <w:r>
        <w:rPr>
          <w:rFonts w:hint="default" w:ascii="Times New Roman" w:hAnsi="Times New Roman" w:cs="Times New Roman"/>
          <w:szCs w:val="21"/>
          <w:highlight w:val="none"/>
        </w:rPr>
        <w:t>70cm以上，用大平剪或修剪机离地面40cm</w:t>
      </w:r>
      <w:r>
        <w:rPr>
          <w:rFonts w:hint="default" w:ascii="Times New Roman" w:hAnsi="Times New Roman" w:cs="Times New Roman"/>
          <w:b/>
          <w:szCs w:val="21"/>
          <w:highlight w:val="none"/>
        </w:rPr>
        <w:t>～</w:t>
      </w:r>
      <w:r>
        <w:rPr>
          <w:rFonts w:ascii="Times New Roman" w:hAnsi="Times New Roman" w:cs="Times New Roman"/>
          <w:szCs w:val="21"/>
          <w:highlight w:val="none"/>
        </w:rPr>
        <w:t>45</w:t>
      </w:r>
      <w:r>
        <w:rPr>
          <w:rFonts w:hint="default" w:ascii="Times New Roman" w:hAnsi="Times New Roman" w:cs="Times New Roman"/>
          <w:szCs w:val="21"/>
          <w:highlight w:val="none"/>
        </w:rPr>
        <w:t>cm处剪成平形或弧形树冠。</w:t>
      </w:r>
    </w:p>
    <w:p w14:paraId="3551C0BE"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第四次整形修剪：新梢半木质化，用大平剪或修剪机离地面</w:t>
      </w:r>
      <w:r>
        <w:rPr>
          <w:rFonts w:ascii="Times New Roman" w:hAnsi="Times New Roman" w:cs="Times New Roman"/>
          <w:szCs w:val="21"/>
          <w:highlight w:val="none"/>
        </w:rPr>
        <w:t>6</w:t>
      </w:r>
      <w:r>
        <w:rPr>
          <w:rFonts w:hint="default" w:ascii="Times New Roman" w:hAnsi="Times New Roman" w:cs="Times New Roman"/>
          <w:szCs w:val="21"/>
          <w:highlight w:val="none"/>
        </w:rPr>
        <w:t>0cm处剪成平形或弧形树冠。</w:t>
      </w:r>
    </w:p>
    <w:p w14:paraId="5F42E90A">
      <w:pPr>
        <w:spacing w:line="360" w:lineRule="auto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eastAsia" w:ascii="Times New Roman" w:hAnsi="Times New Roman" w:cs="Times New Roman"/>
          <w:bCs/>
          <w:szCs w:val="21"/>
          <w:highlight w:val="none"/>
          <w:lang w:val="en-US" w:eastAsia="zh-CN"/>
        </w:rPr>
        <w:t>7</w:t>
      </w:r>
      <w:r>
        <w:rPr>
          <w:rFonts w:hint="default" w:ascii="Times New Roman" w:hAnsi="Times New Roman" w:cs="Times New Roman"/>
          <w:bCs/>
          <w:szCs w:val="21"/>
          <w:highlight w:val="none"/>
        </w:rPr>
        <w:t>.2</w:t>
      </w:r>
      <w:r>
        <w:rPr>
          <w:rFonts w:hint="default" w:ascii="Times New Roman" w:hAnsi="Times New Roman" w:cs="Times New Roman"/>
          <w:szCs w:val="21"/>
          <w:highlight w:val="none"/>
        </w:rPr>
        <w:t>轻修剪：茶园投产后，每年于11</w:t>
      </w:r>
      <w:r>
        <w:rPr>
          <w:rFonts w:hint="default" w:ascii="Times New Roman" w:hAnsi="Times New Roman" w:cs="Times New Roman"/>
          <w:b/>
          <w:szCs w:val="21"/>
          <w:highlight w:val="none"/>
        </w:rPr>
        <w:t>～</w:t>
      </w:r>
      <w:r>
        <w:rPr>
          <w:rFonts w:hint="default" w:ascii="Times New Roman" w:hAnsi="Times New Roman" w:cs="Times New Roman"/>
          <w:szCs w:val="21"/>
          <w:highlight w:val="none"/>
        </w:rPr>
        <w:t>12月对树冠进行1次整型修剪。</w:t>
      </w:r>
    </w:p>
    <w:p w14:paraId="1EBA4E55">
      <w:pPr>
        <w:spacing w:line="360" w:lineRule="auto"/>
        <w:rPr>
          <w:rFonts w:ascii="Times New Roman" w:hAnsi="Times New Roman" w:cs="Times New Roman"/>
          <w:szCs w:val="21"/>
          <w:highlight w:val="none"/>
        </w:rPr>
      </w:pPr>
      <w:r>
        <w:rPr>
          <w:rFonts w:hint="eastAsia" w:ascii="Times New Roman" w:hAnsi="Times New Roman" w:cs="Times New Roman"/>
          <w:bCs/>
          <w:szCs w:val="21"/>
          <w:highlight w:val="none"/>
          <w:lang w:val="en-US" w:eastAsia="zh-CN"/>
        </w:rPr>
        <w:t>7</w:t>
      </w:r>
      <w:r>
        <w:rPr>
          <w:rFonts w:hint="default" w:ascii="Times New Roman" w:hAnsi="Times New Roman" w:cs="Times New Roman"/>
          <w:bCs/>
          <w:szCs w:val="21"/>
          <w:highlight w:val="none"/>
        </w:rPr>
        <w:t>.3</w:t>
      </w:r>
      <w:r>
        <w:rPr>
          <w:rFonts w:hint="default" w:ascii="Times New Roman" w:hAnsi="Times New Roman" w:cs="Times New Roman"/>
          <w:szCs w:val="21"/>
          <w:highlight w:val="none"/>
        </w:rPr>
        <w:t>深修剪：依茶树生长势，隔4</w:t>
      </w:r>
      <w:r>
        <w:rPr>
          <w:rFonts w:hint="default" w:ascii="Times New Roman" w:hAnsi="Times New Roman" w:cs="Times New Roman"/>
          <w:b/>
          <w:szCs w:val="21"/>
          <w:highlight w:val="none"/>
        </w:rPr>
        <w:t>～</w:t>
      </w:r>
      <w:r>
        <w:rPr>
          <w:rFonts w:hint="default" w:ascii="Times New Roman" w:hAnsi="Times New Roman" w:cs="Times New Roman"/>
          <w:szCs w:val="21"/>
          <w:highlight w:val="none"/>
        </w:rPr>
        <w:t>5年进行1次修剪，深度15cm</w:t>
      </w:r>
      <w:r>
        <w:rPr>
          <w:rFonts w:hint="default" w:ascii="Times New Roman" w:hAnsi="Times New Roman" w:cs="Times New Roman"/>
          <w:b/>
          <w:szCs w:val="21"/>
          <w:highlight w:val="none"/>
        </w:rPr>
        <w:t>～</w:t>
      </w:r>
      <w:r>
        <w:rPr>
          <w:rFonts w:hint="default" w:ascii="Times New Roman" w:hAnsi="Times New Roman" w:cs="Times New Roman"/>
          <w:szCs w:val="21"/>
          <w:highlight w:val="none"/>
        </w:rPr>
        <w:t>20cm，剪除“刷把枝”、“鸡爪枝”。</w:t>
      </w:r>
    </w:p>
    <w:p w14:paraId="07785153">
      <w:pPr>
        <w:spacing w:line="360" w:lineRule="auto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eastAsia" w:ascii="Times New Roman" w:hAnsi="Times New Roman" w:cs="Times New Roman"/>
          <w:bCs/>
          <w:szCs w:val="21"/>
          <w:highlight w:val="none"/>
          <w:lang w:val="en-US" w:eastAsia="zh-CN"/>
        </w:rPr>
        <w:t>7</w:t>
      </w:r>
      <w:r>
        <w:rPr>
          <w:rFonts w:hint="default" w:ascii="Times New Roman" w:hAnsi="Times New Roman" w:cs="Times New Roman"/>
          <w:bCs/>
          <w:szCs w:val="21"/>
          <w:highlight w:val="none"/>
        </w:rPr>
        <w:t>.4</w:t>
      </w:r>
      <w:r>
        <w:rPr>
          <w:rFonts w:hint="default" w:ascii="Times New Roman" w:hAnsi="Times New Roman" w:cs="Times New Roman"/>
          <w:szCs w:val="21"/>
          <w:highlight w:val="none"/>
        </w:rPr>
        <w:t>重修剪：茶园多年投采后，依树势进行重修剪，在高度1/2</w:t>
      </w:r>
      <w:r>
        <w:rPr>
          <w:rFonts w:hint="default" w:ascii="Times New Roman" w:hAnsi="Times New Roman" w:cs="Times New Roman"/>
          <w:b/>
          <w:szCs w:val="21"/>
          <w:highlight w:val="none"/>
        </w:rPr>
        <w:t>～</w:t>
      </w:r>
      <w:r>
        <w:rPr>
          <w:rFonts w:hint="default" w:ascii="Times New Roman" w:hAnsi="Times New Roman" w:cs="Times New Roman"/>
          <w:szCs w:val="21"/>
          <w:highlight w:val="none"/>
        </w:rPr>
        <w:t>1/3处进行，</w:t>
      </w:r>
      <w:r>
        <w:rPr>
          <w:rFonts w:hint="default" w:ascii="Times New Roman" w:hAnsi="Times New Roman"/>
          <w:szCs w:val="21"/>
          <w:highlight w:val="none"/>
        </w:rPr>
        <w:t>改造前要增施有机肥和磷肥，剪后及时追肥，改造后树体宜喷施用</w:t>
      </w:r>
      <w:r>
        <w:rPr>
          <w:rFonts w:ascii="Times New Roman" w:hAnsi="Times New Roman"/>
          <w:szCs w:val="21"/>
          <w:highlight w:val="none"/>
        </w:rPr>
        <w:t>0.6</w:t>
      </w:r>
      <w:r>
        <w:rPr>
          <w:rFonts w:hint="default" w:ascii="Times New Roman" w:hAnsi="Times New Roman"/>
          <w:szCs w:val="21"/>
          <w:highlight w:val="none"/>
        </w:rPr>
        <w:t>%</w:t>
      </w:r>
      <w:r>
        <w:rPr>
          <w:rFonts w:ascii="Times New Roman" w:hAnsi="Times New Roman" w:cs="Times New Roman"/>
          <w:szCs w:val="21"/>
          <w:highlight w:val="none"/>
        </w:rPr>
        <w:t>〜</w:t>
      </w:r>
      <w:r>
        <w:rPr>
          <w:rFonts w:ascii="Times New Roman" w:hAnsi="Times New Roman"/>
          <w:szCs w:val="21"/>
          <w:highlight w:val="none"/>
        </w:rPr>
        <w:t>0.7%</w:t>
      </w:r>
      <w:r>
        <w:rPr>
          <w:rFonts w:hint="default" w:ascii="Times New Roman" w:hAnsi="Times New Roman"/>
          <w:szCs w:val="21"/>
          <w:highlight w:val="none"/>
        </w:rPr>
        <w:t>石灰半量式波尔多液</w:t>
      </w:r>
      <w:r>
        <w:rPr>
          <w:rFonts w:hint="default" w:ascii="Times New Roman" w:hAnsi="Times New Roman" w:cs="Times New Roman"/>
          <w:szCs w:val="21"/>
          <w:highlight w:val="none"/>
        </w:rPr>
        <w:t>。</w:t>
      </w:r>
    </w:p>
    <w:p w14:paraId="62B020AC"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Cs/>
          <w:szCs w:val="21"/>
          <w:highlight w:val="none"/>
          <w:lang w:val="en-US" w:eastAsia="zh-CN"/>
        </w:rPr>
        <w:t>7</w:t>
      </w:r>
      <w:r>
        <w:rPr>
          <w:rFonts w:hint="default" w:ascii="Times New Roman" w:hAnsi="Times New Roman" w:cs="Times New Roman"/>
          <w:bCs/>
          <w:szCs w:val="21"/>
          <w:highlight w:val="none"/>
        </w:rPr>
        <w:t>.5</w:t>
      </w:r>
      <w:r>
        <w:rPr>
          <w:rFonts w:hint="default" w:ascii="Times New Roman" w:hAnsi="Times New Roman" w:cs="Times New Roman"/>
          <w:szCs w:val="21"/>
          <w:highlight w:val="none"/>
        </w:rPr>
        <w:t>台刈：依茶树树势进行台刈，离地面20cm左右锯除树冠；</w:t>
      </w:r>
      <w:r>
        <w:rPr>
          <w:rFonts w:hint="default" w:ascii="Times New Roman" w:hAnsi="Times New Roman"/>
          <w:szCs w:val="21"/>
          <w:highlight w:val="none"/>
        </w:rPr>
        <w:t>改造前要增施有机肥和磷肥，剪后及时追肥，改造后树体宜喷施用</w:t>
      </w:r>
      <w:r>
        <w:rPr>
          <w:rFonts w:ascii="Times New Roman" w:hAnsi="Times New Roman"/>
          <w:szCs w:val="21"/>
          <w:highlight w:val="none"/>
        </w:rPr>
        <w:t>0.6</w:t>
      </w:r>
      <w:r>
        <w:rPr>
          <w:rFonts w:hint="default" w:ascii="Times New Roman" w:hAnsi="Times New Roman"/>
          <w:szCs w:val="21"/>
          <w:highlight w:val="none"/>
        </w:rPr>
        <w:t>%</w:t>
      </w:r>
      <w:r>
        <w:rPr>
          <w:rFonts w:ascii="Times New Roman" w:hAnsi="Times New Roman" w:cs="Times New Roman"/>
          <w:szCs w:val="21"/>
          <w:highlight w:val="none"/>
        </w:rPr>
        <w:t>〜</w:t>
      </w:r>
      <w:r>
        <w:rPr>
          <w:rFonts w:ascii="Times New Roman" w:hAnsi="Times New Roman"/>
          <w:szCs w:val="21"/>
          <w:highlight w:val="none"/>
        </w:rPr>
        <w:t>0.7%</w:t>
      </w:r>
      <w:r>
        <w:rPr>
          <w:rFonts w:hint="default" w:ascii="Times New Roman" w:hAnsi="Times New Roman"/>
          <w:szCs w:val="21"/>
          <w:highlight w:val="none"/>
        </w:rPr>
        <w:t>石灰</w:t>
      </w:r>
      <w:r>
        <w:rPr>
          <w:rFonts w:hint="default" w:ascii="Times New Roman" w:hAnsi="Times New Roman"/>
          <w:szCs w:val="21"/>
        </w:rPr>
        <w:t>半量式波尔多液；</w:t>
      </w:r>
      <w:r>
        <w:rPr>
          <w:rFonts w:hint="default" w:ascii="Times New Roman" w:hAnsi="Times New Roman" w:cs="Times New Roman"/>
          <w:szCs w:val="21"/>
        </w:rPr>
        <w:t>对古茶树应注意保护，合理采摘，建议不进行台刈。</w:t>
      </w:r>
    </w:p>
    <w:p w14:paraId="11FF2497">
      <w:pPr>
        <w:pStyle w:val="25"/>
        <w:spacing w:before="156" w:beforeLines="50" w:after="156" w:afterLines="50" w:line="360" w:lineRule="auto"/>
        <w:ind w:firstLine="0" w:firstLineChars="0"/>
        <w:contextualSpacing/>
        <w:rPr>
          <w:rFonts w:hint="eastAsia" w:eastAsia="黑体" w:cs="Times New Roman"/>
          <w:bCs/>
          <w:lang w:val="en-US" w:eastAsia="zh-CN"/>
        </w:rPr>
      </w:pPr>
      <w:r>
        <w:rPr>
          <w:rFonts w:hint="eastAsia" w:eastAsia="黑体" w:cs="Times New Roman"/>
          <w:bCs/>
          <w:lang w:val="en-US" w:eastAsia="zh-CN"/>
        </w:rPr>
        <w:t>8 土壤管理与施肥</w:t>
      </w:r>
    </w:p>
    <w:p w14:paraId="1C41DD51">
      <w:pPr>
        <w:spacing w:line="360" w:lineRule="auto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eastAsia" w:ascii="Times New Roman" w:hAnsi="Times New Roman" w:eastAsia="黑体" w:cs="Times New Roman"/>
          <w:bCs/>
          <w:szCs w:val="21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bCs/>
          <w:szCs w:val="21"/>
        </w:rPr>
        <w:t>.</w:t>
      </w:r>
      <w:r>
        <w:rPr>
          <w:rFonts w:hint="eastAsia" w:ascii="Times New Roman" w:hAnsi="Times New Roman" w:eastAsia="黑体" w:cs="Times New Roman"/>
          <w:bCs/>
          <w:szCs w:val="21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Cs/>
          <w:szCs w:val="21"/>
        </w:rPr>
        <w:t>茶园耕锄</w:t>
      </w:r>
    </w:p>
    <w:p w14:paraId="1009E7CC"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耕锄分浅耕和深耕。春茶结束浅耕1次，夏茶结束浅耕1次，深度为</w:t>
      </w:r>
      <w:r>
        <w:rPr>
          <w:rFonts w:hint="eastAsia" w:ascii="Times New Roman" w:hAnsi="Times New Roman" w:cs="Times New Roman"/>
          <w:szCs w:val="21"/>
          <w:lang w:val="en-US" w:eastAsia="zh-CN"/>
        </w:rPr>
        <w:t>10</w:t>
      </w:r>
      <w:r>
        <w:rPr>
          <w:rFonts w:hint="default" w:ascii="Times New Roman" w:hAnsi="Times New Roman" w:cs="Times New Roman"/>
          <w:szCs w:val="21"/>
        </w:rPr>
        <w:t>cm</w:t>
      </w:r>
      <w:r>
        <w:rPr>
          <w:rFonts w:hint="default" w:ascii="Times New Roman" w:hAnsi="Times New Roman" w:cs="Times New Roman"/>
          <w:b/>
          <w:szCs w:val="21"/>
        </w:rPr>
        <w:t>～</w:t>
      </w:r>
      <w:r>
        <w:rPr>
          <w:rFonts w:hint="eastAsia" w:ascii="Times New Roman" w:hAnsi="Times New Roman" w:cs="Times New Roman"/>
          <w:szCs w:val="21"/>
          <w:lang w:val="en-US" w:eastAsia="zh-CN"/>
        </w:rPr>
        <w:t>15</w:t>
      </w:r>
      <w:r>
        <w:rPr>
          <w:rFonts w:hint="default" w:ascii="Times New Roman" w:hAnsi="Times New Roman" w:cs="Times New Roman"/>
          <w:szCs w:val="21"/>
        </w:rPr>
        <w:t>㎝；秋茶结束深耕1次，深度15cm</w:t>
      </w:r>
      <w:r>
        <w:rPr>
          <w:rFonts w:hint="default" w:ascii="Times New Roman" w:hAnsi="Times New Roman" w:cs="Times New Roman"/>
          <w:b/>
          <w:szCs w:val="21"/>
        </w:rPr>
        <w:t>～</w:t>
      </w:r>
      <w:r>
        <w:rPr>
          <w:rFonts w:hint="default" w:ascii="Times New Roman" w:hAnsi="Times New Roman" w:cs="Times New Roman"/>
          <w:szCs w:val="21"/>
        </w:rPr>
        <w:t>25㎝。</w:t>
      </w:r>
    </w:p>
    <w:p w14:paraId="1EE32CB4">
      <w:pPr>
        <w:spacing w:line="360" w:lineRule="auto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eastAsia" w:ascii="Times New Roman" w:hAnsi="Times New Roman" w:eastAsia="黑体" w:cs="Times New Roman"/>
          <w:bCs/>
          <w:szCs w:val="21"/>
          <w:lang w:val="en-US" w:eastAsia="zh-CN"/>
        </w:rPr>
        <w:t>8.2</w:t>
      </w:r>
      <w:r>
        <w:rPr>
          <w:rFonts w:hint="default" w:ascii="Times New Roman" w:hAnsi="Times New Roman" w:eastAsia="黑体" w:cs="Times New Roman"/>
          <w:bCs/>
          <w:szCs w:val="21"/>
        </w:rPr>
        <w:t>封园</w:t>
      </w:r>
    </w:p>
    <w:p w14:paraId="6065056C"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封园一般掌握在立冬之前，日平均气温掌握在15度以上时封园。亩用45%晶体石硫合剂250</w:t>
      </w:r>
      <w:r>
        <w:rPr>
          <w:rFonts w:hint="default" w:ascii="Times New Roman" w:hAnsi="Times New Roman" w:cs="Times New Roman"/>
          <w:szCs w:val="21"/>
        </w:rPr>
        <w:t>g</w:t>
      </w:r>
      <w:r>
        <w:rPr>
          <w:rFonts w:hint="default" w:ascii="Times New Roman" w:hAnsi="Times New Roman" w:cs="Times New Roman"/>
          <w:b/>
          <w:szCs w:val="21"/>
        </w:rPr>
        <w:t>～</w:t>
      </w:r>
      <w:r>
        <w:rPr>
          <w:rFonts w:ascii="Times New Roman" w:hAnsi="Times New Roman" w:cs="Times New Roman"/>
          <w:szCs w:val="21"/>
        </w:rPr>
        <w:t>300</w:t>
      </w:r>
      <w:r>
        <w:rPr>
          <w:rFonts w:hint="default" w:ascii="Times New Roman" w:hAnsi="Times New Roman" w:cs="Times New Roman"/>
          <w:szCs w:val="21"/>
        </w:rPr>
        <w:t>g</w:t>
      </w:r>
      <w:r>
        <w:rPr>
          <w:rFonts w:ascii="Times New Roman" w:hAnsi="Times New Roman" w:cs="Times New Roman"/>
          <w:szCs w:val="21"/>
        </w:rPr>
        <w:t>，兑水60kg喷雾，叶子的正反面喷湿，枝干、茶丛基部受药均匀，这样才能保证效果。</w:t>
      </w:r>
    </w:p>
    <w:p w14:paraId="32A5A29B">
      <w:pPr>
        <w:pStyle w:val="25"/>
        <w:spacing w:before="156" w:beforeLines="50" w:after="156" w:afterLines="50" w:line="360" w:lineRule="auto"/>
        <w:ind w:firstLine="0" w:firstLineChars="0"/>
        <w:contextualSpacing/>
        <w:rPr>
          <w:rFonts w:hint="default" w:ascii="Times New Roman" w:hAnsi="Times New Roman" w:eastAsia="黑体" w:cs="Times New Roman"/>
          <w:bCs/>
        </w:rPr>
      </w:pPr>
      <w:r>
        <w:rPr>
          <w:rFonts w:hint="eastAsia" w:eastAsia="黑体" w:cs="Times New Roman"/>
          <w:bCs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bCs/>
        </w:rPr>
        <w:t>.</w:t>
      </w:r>
      <w:r>
        <w:rPr>
          <w:rFonts w:hint="eastAsia" w:eastAsia="黑体" w:cs="Times New Roman"/>
          <w:bCs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Cs/>
        </w:rPr>
        <w:t>施肥</w:t>
      </w:r>
    </w:p>
    <w:p w14:paraId="3030F55C">
      <w:pPr>
        <w:pStyle w:val="25"/>
        <w:spacing w:before="156" w:beforeLines="50" w:after="156" w:afterLines="50" w:line="360" w:lineRule="auto"/>
        <w:ind w:firstLine="0" w:firstLineChars="0"/>
        <w:contextualSpacing/>
        <w:rPr>
          <w:rFonts w:hint="default" w:ascii="Times New Roman" w:hAnsi="Times New Roman" w:eastAsia="黑体" w:cs="Times New Roman"/>
          <w:bCs/>
        </w:rPr>
      </w:pPr>
      <w:r>
        <w:rPr>
          <w:rFonts w:hint="eastAsia" w:eastAsia="黑体" w:cs="Times New Roman"/>
          <w:bCs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bCs/>
        </w:rPr>
        <w:t>.</w:t>
      </w:r>
      <w:r>
        <w:rPr>
          <w:rFonts w:hint="eastAsia" w:eastAsia="黑体" w:cs="Times New Roman"/>
          <w:bCs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Cs/>
        </w:rPr>
        <w:t>.1肥料使用原则</w:t>
      </w:r>
    </w:p>
    <w:p w14:paraId="35541974">
      <w:pPr>
        <w:pStyle w:val="25"/>
        <w:spacing w:before="156" w:beforeLines="50" w:after="156" w:afterLines="50" w:line="360" w:lineRule="auto"/>
        <w:contextualSpacing/>
        <w:rPr>
          <w:rFonts w:hint="default"/>
        </w:rPr>
      </w:pPr>
      <w:r>
        <w:rPr>
          <w:rFonts w:hint="default"/>
        </w:rPr>
        <w:t>肥料种类及使用应</w:t>
      </w:r>
      <w:r>
        <w:rPr>
          <w:rFonts w:hint="default" w:ascii="Times New Roman" w:hAnsi="Times New Roman" w:cs="Times New Roman"/>
        </w:rPr>
        <w:t>严格按NY/T394执行。</w:t>
      </w:r>
    </w:p>
    <w:p w14:paraId="2C2A7F49">
      <w:pPr>
        <w:pStyle w:val="40"/>
        <w:numPr>
          <w:ilvl w:val="0"/>
          <w:numId w:val="0"/>
        </w:numPr>
        <w:spacing w:before="0" w:beforeLines="0" w:after="0" w:afterLines="0" w:line="360" w:lineRule="auto"/>
        <w:rPr>
          <w:rFonts w:hint="default" w:ascii="Times New Roman" w:hAnsi="Times New Roman" w:cs="Times New Roman"/>
          <w:bCs/>
          <w:kern w:val="2"/>
        </w:rPr>
      </w:pPr>
      <w:r>
        <w:rPr>
          <w:rFonts w:hint="eastAsia" w:ascii="Times New Roman" w:cs="Times New Roman"/>
          <w:bCs/>
          <w:kern w:val="2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kern w:val="2"/>
        </w:rPr>
        <w:t>.</w:t>
      </w:r>
      <w:r>
        <w:rPr>
          <w:rFonts w:hint="eastAsia" w:ascii="Times New Roman" w:cs="Times New Roman"/>
          <w:bCs/>
          <w:kern w:val="2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kern w:val="2"/>
        </w:rPr>
        <w:t>.2基肥</w:t>
      </w:r>
    </w:p>
    <w:p w14:paraId="541AAFB9">
      <w:pPr>
        <w:pStyle w:val="40"/>
        <w:numPr>
          <w:ilvl w:val="0"/>
          <w:numId w:val="0"/>
        </w:numPr>
        <w:spacing w:before="0" w:beforeLines="0" w:after="0" w:afterLines="0" w:line="360" w:lineRule="auto"/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每年11</w:t>
      </w:r>
      <w:r>
        <w:rPr>
          <w:rFonts w:hint="default" w:ascii="Times New Roman" w:hAnsi="Times New Roman" w:eastAsia="宋体" w:cs="Times New Roman"/>
          <w:b/>
        </w:rPr>
        <w:t>～</w:t>
      </w:r>
      <w:r>
        <w:rPr>
          <w:rFonts w:hint="default" w:ascii="Times New Roman" w:hAnsi="Times New Roman" w:eastAsia="宋体" w:cs="Times New Roman"/>
        </w:rPr>
        <w:t>12月，结合茶树修剪在距茶苗根部10cm</w:t>
      </w:r>
      <w:r>
        <w:rPr>
          <w:rFonts w:hint="default" w:ascii="Times New Roman" w:hAnsi="Times New Roman" w:eastAsia="宋体" w:cs="Times New Roman"/>
          <w:b/>
        </w:rPr>
        <w:t>～</w:t>
      </w:r>
      <w:r>
        <w:rPr>
          <w:rFonts w:hint="default" w:ascii="Times New Roman" w:hAnsi="Times New Roman" w:eastAsia="宋体" w:cs="Times New Roman"/>
        </w:rPr>
        <w:t>15cm开深20cm</w:t>
      </w:r>
      <w:r>
        <w:rPr>
          <w:rFonts w:hint="default" w:ascii="Times New Roman" w:hAnsi="Times New Roman" w:eastAsia="宋体" w:cs="Times New Roman"/>
          <w:b/>
        </w:rPr>
        <w:t>～</w:t>
      </w:r>
      <w:r>
        <w:rPr>
          <w:rFonts w:hint="default" w:ascii="Times New Roman" w:hAnsi="Times New Roman" w:eastAsia="宋体" w:cs="Times New Roman"/>
        </w:rPr>
        <w:t>25cm的沟，按每亩施商品有机肥</w:t>
      </w:r>
      <w:r>
        <w:rPr>
          <w:rFonts w:hint="default" w:ascii="Times New Roman" w:hAnsi="Times New Roman" w:eastAsia="宋体" w:cs="Times New Roman"/>
          <w:lang w:val="en-US"/>
        </w:rPr>
        <w:t>15</w:t>
      </w:r>
      <w:r>
        <w:rPr>
          <w:rFonts w:hint="default" w:ascii="Times New Roman" w:hAnsi="Times New Roman" w:eastAsia="宋体" w:cs="Times New Roman"/>
        </w:rPr>
        <w:t>00kg</w:t>
      </w:r>
      <w:r>
        <w:rPr>
          <w:rFonts w:hint="default" w:ascii="Times New Roman" w:hAnsi="Times New Roman" w:eastAsia="宋体" w:cs="Times New Roman"/>
          <w:b/>
        </w:rPr>
        <w:t>～</w:t>
      </w:r>
      <w:r>
        <w:rPr>
          <w:rFonts w:hint="default" w:ascii="Times New Roman" w:hAnsi="Times New Roman" w:eastAsia="宋体" w:cs="Times New Roman"/>
        </w:rPr>
        <w:t>2</w:t>
      </w:r>
      <w:r>
        <w:rPr>
          <w:rFonts w:hint="default" w:ascii="Times New Roman" w:hAnsi="Times New Roman" w:eastAsia="宋体" w:cs="Times New Roman"/>
          <w:lang w:val="en-US"/>
        </w:rPr>
        <w:t>0</w:t>
      </w:r>
      <w:r>
        <w:rPr>
          <w:rFonts w:hint="default" w:ascii="Times New Roman" w:hAnsi="Times New Roman" w:eastAsia="宋体" w:cs="Times New Roman"/>
        </w:rPr>
        <w:t>00kg或油枯800kg</w:t>
      </w:r>
      <w:r>
        <w:rPr>
          <w:rFonts w:hint="default" w:ascii="Times New Roman" w:hAnsi="Times New Roman" w:eastAsia="宋体" w:cs="Times New Roman"/>
          <w:b/>
        </w:rPr>
        <w:t>～</w:t>
      </w:r>
      <w:r>
        <w:rPr>
          <w:rFonts w:hint="default" w:ascii="Times New Roman" w:hAnsi="Times New Roman" w:eastAsia="宋体" w:cs="Times New Roman"/>
        </w:rPr>
        <w:t>1000kg、配合施用过磷酸钙20kg</w:t>
      </w:r>
      <w:r>
        <w:rPr>
          <w:rFonts w:hint="default" w:ascii="Times New Roman" w:hAnsi="Times New Roman" w:eastAsia="宋体" w:cs="Times New Roman"/>
          <w:b/>
        </w:rPr>
        <w:t>～</w:t>
      </w:r>
      <w:r>
        <w:rPr>
          <w:rFonts w:hint="default" w:ascii="Times New Roman" w:hAnsi="Times New Roman" w:eastAsia="宋体" w:cs="Times New Roman"/>
        </w:rPr>
        <w:t>25kg、硫酸钾10kg</w:t>
      </w:r>
      <w:r>
        <w:rPr>
          <w:rFonts w:hint="default" w:ascii="Times New Roman" w:hAnsi="Times New Roman" w:eastAsia="宋体" w:cs="Times New Roman"/>
          <w:b/>
        </w:rPr>
        <w:t>～</w:t>
      </w:r>
      <w:r>
        <w:rPr>
          <w:rFonts w:hint="default" w:ascii="Times New Roman" w:hAnsi="Times New Roman" w:eastAsia="宋体" w:cs="Times New Roman"/>
        </w:rPr>
        <w:t>15 kg，同时把</w:t>
      </w:r>
      <w:r>
        <w:rPr>
          <w:rFonts w:hint="eastAsia" w:ascii="Times New Roman" w:eastAsia="宋体" w:cs="Times New Roman"/>
          <w:lang w:val="en-US" w:eastAsia="zh-CN"/>
        </w:rPr>
        <w:t>杂草</w:t>
      </w:r>
      <w:r>
        <w:rPr>
          <w:rFonts w:hint="default" w:ascii="Times New Roman" w:hAnsi="Times New Roman" w:eastAsia="宋体" w:cs="Times New Roman"/>
        </w:rPr>
        <w:t xml:space="preserve">及修剪茶枝回填沟内后盖土；有条件的地方建议使用猪牛禽渥堆肥，施用方法与商品有机肥使用相同，辅助以无机矿质肥料和微生物肥料等。 </w:t>
      </w:r>
    </w:p>
    <w:p w14:paraId="2F9B1C23">
      <w:pPr>
        <w:pStyle w:val="40"/>
        <w:numPr>
          <w:ilvl w:val="0"/>
          <w:numId w:val="0"/>
        </w:numPr>
        <w:spacing w:before="0" w:beforeLines="0" w:after="0" w:afterLines="0" w:line="360" w:lineRule="auto"/>
        <w:rPr>
          <w:rFonts w:hint="default" w:ascii="Times New Roman" w:hAnsi="Times New Roman" w:cs="Times New Roman"/>
          <w:bCs/>
          <w:kern w:val="2"/>
        </w:rPr>
      </w:pPr>
      <w:r>
        <w:rPr>
          <w:rFonts w:hint="eastAsia" w:ascii="Times New Roman" w:cs="Times New Roman"/>
          <w:bCs/>
          <w:kern w:val="2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kern w:val="2"/>
        </w:rPr>
        <w:t>.2.3追肥</w:t>
      </w:r>
    </w:p>
    <w:p w14:paraId="1775FA3C">
      <w:pPr>
        <w:pStyle w:val="40"/>
        <w:numPr>
          <w:ilvl w:val="0"/>
          <w:numId w:val="0"/>
        </w:numPr>
        <w:spacing w:before="0" w:beforeLines="0" w:after="0" w:afterLines="0" w:line="360" w:lineRule="auto"/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春茶结束后，在茶行间开8cm</w:t>
      </w:r>
      <w:r>
        <w:rPr>
          <w:rFonts w:hint="default" w:ascii="Times New Roman" w:hAnsi="Times New Roman" w:eastAsia="宋体" w:cs="Times New Roman"/>
          <w:b/>
        </w:rPr>
        <w:t>～</w:t>
      </w:r>
      <w:r>
        <w:rPr>
          <w:rFonts w:hint="default" w:ascii="Times New Roman" w:hAnsi="Times New Roman" w:eastAsia="宋体" w:cs="Times New Roman"/>
        </w:rPr>
        <w:t>10cm的沟按每亩15kg</w:t>
      </w:r>
      <w:r>
        <w:rPr>
          <w:rFonts w:hint="default" w:ascii="Times New Roman" w:hAnsi="Times New Roman" w:eastAsia="宋体" w:cs="Times New Roman"/>
          <w:b/>
        </w:rPr>
        <w:t>～</w:t>
      </w:r>
      <w:r>
        <w:rPr>
          <w:rFonts w:hint="default" w:ascii="Times New Roman" w:hAnsi="Times New Roman" w:eastAsia="宋体" w:cs="Times New Roman"/>
        </w:rPr>
        <w:t>20kg尿素施用盖土。有条件的地方建议使用腐熟后的猪牛禽液肥兑水根际浇施。</w:t>
      </w:r>
    </w:p>
    <w:p w14:paraId="4D43E8EC">
      <w:pPr>
        <w:pStyle w:val="28"/>
        <w:ind w:firstLine="0" w:firstLineChars="0"/>
        <w:rPr>
          <w:rFonts w:hint="eastAsia" w:ascii="Times New Roman" w:cs="Times New Roman"/>
          <w:lang w:val="en-US" w:eastAsia="zh-CN"/>
        </w:rPr>
      </w:pPr>
      <w:r>
        <w:rPr>
          <w:rFonts w:hint="eastAsia" w:ascii="Times New Roman" w:cs="Times New Roman"/>
          <w:lang w:val="en-US" w:eastAsia="zh-CN"/>
        </w:rPr>
        <w:t>8.2.4绿肥</w:t>
      </w:r>
    </w:p>
    <w:p w14:paraId="382F3C1A">
      <w:pPr>
        <w:pStyle w:val="28"/>
        <w:ind w:firstLine="0" w:firstLineChars="0"/>
        <w:rPr>
          <w:rFonts w:hint="default" w:ascii="Times New Roman" w:cs="Times New Roman"/>
          <w:lang w:val="en-US" w:eastAsia="zh-CN"/>
        </w:rPr>
      </w:pPr>
      <w:r>
        <w:rPr>
          <w:rFonts w:hint="eastAsia" w:ascii="Times New Roman" w:cs="Times New Roman"/>
          <w:lang w:val="en-US" w:eastAsia="zh-CN"/>
        </w:rPr>
        <w:t xml:space="preserve">    有条件的地方适当种植绿肥作物，主要以紫苜蓿、苕子、金钱草等品种为主，建议每亩按3-7千克种子撒播。</w:t>
      </w:r>
    </w:p>
    <w:p w14:paraId="31DFB7F6">
      <w:pPr>
        <w:pStyle w:val="25"/>
        <w:spacing w:before="156" w:beforeLines="50" w:after="156" w:afterLines="50" w:line="360" w:lineRule="auto"/>
        <w:ind w:firstLine="0" w:firstLineChars="0"/>
        <w:contextualSpacing/>
        <w:rPr>
          <w:rFonts w:hint="default" w:ascii="Times New Roman" w:hAnsi="Times New Roman" w:eastAsia="黑体" w:cs="Times New Roman"/>
          <w:bCs/>
        </w:rPr>
      </w:pPr>
      <w:r>
        <w:rPr>
          <w:rFonts w:hint="eastAsia" w:eastAsia="黑体" w:cs="Times New Roman"/>
          <w:bCs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bCs/>
        </w:rPr>
        <w:t>.2.</w:t>
      </w:r>
      <w:r>
        <w:rPr>
          <w:rFonts w:hint="eastAsia" w:eastAsia="黑体" w:cs="Times New Roman"/>
          <w:bCs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Cs/>
        </w:rPr>
        <w:t>叶面肥</w:t>
      </w:r>
    </w:p>
    <w:p w14:paraId="19F68479">
      <w:pPr>
        <w:pStyle w:val="25"/>
        <w:spacing w:before="156" w:beforeLines="50" w:after="156" w:afterLines="50" w:line="360" w:lineRule="auto"/>
        <w:contextualSpacing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</w:rPr>
        <w:t>在茶叶采摘结束后，每亩可用微生物肥（按使用说明书）、商品叶面肥（按使用说明书、</w:t>
      </w:r>
      <w:r>
        <w:rPr>
          <w:rFonts w:hint="default"/>
        </w:rPr>
        <w:t>使用的商品叶面肥必须已在农业</w:t>
      </w:r>
      <w:r>
        <w:rPr>
          <w:rFonts w:hint="eastAsia"/>
          <w:lang w:eastAsia="zh-CN"/>
        </w:rPr>
        <w:t>农村</w:t>
      </w:r>
      <w:r>
        <w:rPr>
          <w:rFonts w:hint="default"/>
        </w:rPr>
        <w:t>部登记，采摘前10 d停止使用</w:t>
      </w:r>
      <w:r>
        <w:rPr>
          <w:rFonts w:hint="default" w:ascii="Times New Roman" w:hAnsi="Times New Roman" w:cs="Times New Roman"/>
        </w:rPr>
        <w:t>）、2kg</w:t>
      </w:r>
      <w:r>
        <w:rPr>
          <w:rFonts w:hint="default" w:ascii="Times New Roman" w:hAnsi="Times New Roman" w:cs="Times New Roman"/>
          <w:b/>
        </w:rPr>
        <w:t>～</w:t>
      </w:r>
      <w:r>
        <w:rPr>
          <w:rFonts w:hint="default" w:ascii="Times New Roman" w:hAnsi="Times New Roman" w:cs="Times New Roman"/>
        </w:rPr>
        <w:t>3kg尿素、0.8</w:t>
      </w:r>
      <w:r>
        <w:rPr>
          <w:rFonts w:hint="default" w:ascii="Times New Roman" w:hAnsi="Times New Roman" w:cs="Times New Roman"/>
          <w:b/>
        </w:rPr>
        <w:t>～</w:t>
      </w:r>
      <w:r>
        <w:rPr>
          <w:rFonts w:hint="default" w:ascii="Times New Roman" w:hAnsi="Times New Roman" w:cs="Times New Roman"/>
        </w:rPr>
        <w:t>1kg磷酸二氢钾进行叶面喷施。</w:t>
      </w:r>
    </w:p>
    <w:p w14:paraId="22D51876">
      <w:pPr>
        <w:pStyle w:val="25"/>
        <w:spacing w:before="156" w:beforeLines="50" w:after="156" w:afterLines="50" w:line="360" w:lineRule="auto"/>
        <w:ind w:firstLine="0" w:firstLineChars="0"/>
        <w:contextualSpacing/>
        <w:rPr>
          <w:rFonts w:hint="default" w:ascii="Times New Roman" w:hAnsi="Times New Roman" w:eastAsia="黑体" w:cs="Times New Roman"/>
          <w:bCs/>
        </w:rPr>
      </w:pPr>
      <w:r>
        <w:rPr>
          <w:rFonts w:hint="eastAsia" w:eastAsia="黑体" w:cs="Times New Roman"/>
          <w:bCs/>
          <w:lang w:val="en-US" w:eastAsia="zh-CN"/>
        </w:rPr>
        <w:t>9 水分管理与</w:t>
      </w:r>
      <w:r>
        <w:rPr>
          <w:rFonts w:hint="default" w:ascii="Times New Roman" w:hAnsi="Times New Roman" w:eastAsia="黑体" w:cs="Times New Roman"/>
          <w:bCs/>
        </w:rPr>
        <w:t>灌溉</w:t>
      </w:r>
    </w:p>
    <w:p w14:paraId="64648CC4">
      <w:pPr>
        <w:pStyle w:val="25"/>
        <w:spacing w:before="156" w:beforeLines="50" w:after="156" w:afterLines="50" w:line="360" w:lineRule="auto"/>
        <w:ind w:firstLine="0" w:firstLineChars="0"/>
        <w:contextualSpacing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.1以天然降水为主，具备灌溉条件的茶园自行灌溉。</w:t>
      </w:r>
    </w:p>
    <w:p w14:paraId="64752BE4">
      <w:pPr>
        <w:pStyle w:val="25"/>
        <w:spacing w:before="156" w:beforeLines="50" w:after="156" w:afterLines="50" w:line="360" w:lineRule="auto"/>
        <w:ind w:firstLine="0" w:firstLineChars="0"/>
        <w:contextualSpacing/>
        <w:rPr>
          <w:rFonts w:hint="default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.2为保证茶园土壤保持水分，可</w:t>
      </w:r>
      <w:r>
        <w:rPr>
          <w:rFonts w:hint="default"/>
        </w:rPr>
        <w:t>釆用地面覆盖等措施提髙茶园保土、蓄水能力，植物源覆盖材料(草、</w:t>
      </w:r>
      <w:r>
        <w:rPr>
          <w:rFonts w:hint="default" w:ascii="Times New Roman" w:hAnsi="Times New Roman" w:cs="Times New Roman"/>
        </w:rPr>
        <w:t>修剪枝叶和作物秸秆等)应未受有害或有毒物质的污染。</w:t>
      </w:r>
    </w:p>
    <w:p w14:paraId="0523DCB6">
      <w:pPr>
        <w:adjustRightInd w:val="0"/>
        <w:snapToGrid w:val="0"/>
        <w:spacing w:line="360" w:lineRule="auto"/>
        <w:rPr>
          <w:rFonts w:hint="default"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 xml:space="preserve">10 </w:t>
      </w:r>
      <w:r>
        <w:rPr>
          <w:rFonts w:hint="default" w:ascii="Times New Roman" w:hAnsi="Times New Roman" w:eastAsia="黑体"/>
          <w:szCs w:val="21"/>
        </w:rPr>
        <w:t>病虫草害防治</w:t>
      </w:r>
    </w:p>
    <w:p w14:paraId="3DC414A9">
      <w:pPr>
        <w:adjustRightInd w:val="0"/>
        <w:snapToGrid w:val="0"/>
        <w:spacing w:line="360" w:lineRule="auto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cs="Times New Roman"/>
          <w:bCs/>
          <w:lang w:val="en-US" w:eastAsia="zh-CN"/>
        </w:rPr>
        <w:t>10</w:t>
      </w:r>
      <w:r>
        <w:rPr>
          <w:rFonts w:hint="default" w:ascii="Times New Roman" w:hAnsi="Times New Roman" w:cs="Times New Roman"/>
          <w:bCs/>
        </w:rPr>
        <w:t>.1</w:t>
      </w:r>
      <w:r>
        <w:rPr>
          <w:rFonts w:hint="default" w:ascii="Times New Roman" w:hAnsi="Times New Roman" w:eastAsia="黑体"/>
          <w:szCs w:val="21"/>
        </w:rPr>
        <w:t>防治原则</w:t>
      </w:r>
    </w:p>
    <w:p w14:paraId="63F89FF0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default" w:ascii="Times New Roman" w:hAnsi="Times New Roman"/>
          <w:szCs w:val="21"/>
        </w:rPr>
        <w:t>病虫草害防治应符合NY/T 393规定，遵循“预防为主，综合</w:t>
      </w:r>
      <w:r>
        <w:rPr>
          <w:rFonts w:hint="eastAsia" w:ascii="Times New Roman" w:hAnsi="Times New Roman"/>
          <w:szCs w:val="21"/>
          <w:lang w:eastAsia="zh-CN"/>
        </w:rPr>
        <w:t>防治</w:t>
      </w:r>
      <w:r>
        <w:rPr>
          <w:rFonts w:hint="default" w:ascii="Times New Roman" w:hAnsi="Times New Roman"/>
          <w:szCs w:val="21"/>
        </w:rPr>
        <w:t>”方针，构建良好的绿色茶园生态系统，优先考虑农业、物理防治与生物防治措施，必要时再使用化学防控。</w:t>
      </w:r>
    </w:p>
    <w:p w14:paraId="701AAEBE">
      <w:pPr>
        <w:adjustRightInd w:val="0"/>
        <w:snapToGrid w:val="0"/>
        <w:spacing w:line="360" w:lineRule="auto"/>
        <w:rPr>
          <w:rFonts w:hint="default"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>.2 防治措施</w:t>
      </w:r>
    </w:p>
    <w:p w14:paraId="06058272">
      <w:pPr>
        <w:adjustRightInd w:val="0"/>
        <w:snapToGrid w:val="0"/>
        <w:spacing w:line="360" w:lineRule="auto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>.2.1农业防治</w:t>
      </w:r>
    </w:p>
    <w:p w14:paraId="55ECC244">
      <w:pPr>
        <w:adjustRightInd w:val="0"/>
        <w:snapToGrid w:val="0"/>
        <w:spacing w:line="360" w:lineRule="auto"/>
        <w:rPr>
          <w:rFonts w:hint="default" w:ascii="Times New Roman" w:hAnsi="Times New Roman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>.2.1.1</w:t>
      </w:r>
      <w:r>
        <w:rPr>
          <w:rFonts w:hint="default" w:ascii="Times New Roman" w:hAnsi="Times New Roman"/>
          <w:szCs w:val="21"/>
        </w:rPr>
        <w:t>选择抗病力强的品种进行种植生产；</w:t>
      </w:r>
    </w:p>
    <w:p w14:paraId="0EFC62B3">
      <w:pPr>
        <w:adjustRightInd w:val="0"/>
        <w:snapToGrid w:val="0"/>
        <w:spacing w:line="360" w:lineRule="auto"/>
        <w:rPr>
          <w:rFonts w:hint="default" w:ascii="Times New Roman" w:hAnsi="Times New Roman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>.2.1.2</w:t>
      </w:r>
      <w:r>
        <w:rPr>
          <w:rFonts w:hint="default" w:ascii="Times New Roman" w:hAnsi="Times New Roman"/>
          <w:szCs w:val="21"/>
        </w:rPr>
        <w:t>合理密植，保持茶园的透光性、透气性，降低病害的发生；</w:t>
      </w:r>
    </w:p>
    <w:p w14:paraId="7C487B4E">
      <w:pPr>
        <w:adjustRightInd w:val="0"/>
        <w:snapToGrid w:val="0"/>
        <w:spacing w:line="360" w:lineRule="auto"/>
        <w:rPr>
          <w:rFonts w:hint="default" w:ascii="Times New Roman" w:hAnsi="Times New Roman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>.2.1.3</w:t>
      </w:r>
      <w:r>
        <w:rPr>
          <w:rFonts w:hint="default" w:ascii="Times New Roman" w:hAnsi="Times New Roman"/>
          <w:szCs w:val="21"/>
        </w:rPr>
        <w:t>适时施肥，保证茶树生长所需养分，增强抗病力；</w:t>
      </w:r>
    </w:p>
    <w:p w14:paraId="32F7D226">
      <w:pPr>
        <w:adjustRightInd w:val="0"/>
        <w:snapToGrid w:val="0"/>
        <w:spacing w:line="360" w:lineRule="auto"/>
        <w:rPr>
          <w:rFonts w:hint="default" w:ascii="Times New Roman" w:hAnsi="Times New Roman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>.2.1.4</w:t>
      </w:r>
      <w:r>
        <w:rPr>
          <w:rFonts w:hint="default" w:ascii="Times New Roman" w:hAnsi="Times New Roman" w:cs="Times New Roman"/>
        </w:rPr>
        <w:t>及时分批多次采摘。在采摘季节及时分批多次采摘，恶化蚜虫、小绿叶蝉、茶细蛾、茶跗线螨、茶红蜘蛛、丽纹象甲等害虫的营养条件，同时也可破坏其产卵场所，减轻病虫为害。</w:t>
      </w:r>
    </w:p>
    <w:p w14:paraId="633AD39A">
      <w:pPr>
        <w:widowControl w:val="0"/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>.2.1.5</w:t>
      </w:r>
      <w:r>
        <w:rPr>
          <w:rFonts w:hint="default" w:ascii="Times New Roman" w:hAnsi="Times New Roman" w:cs="Times New Roman"/>
        </w:rPr>
        <w:t>开展植树造林、种植行道树、遮荫树，套种各类</w:t>
      </w:r>
      <w:r>
        <w:rPr>
          <w:rFonts w:hint="eastAsia" w:ascii="Times New Roman" w:hAnsi="Times New Roman" w:cs="Times New Roman"/>
          <w:lang w:val="en-US" w:eastAsia="zh-CN"/>
        </w:rPr>
        <w:t>适宜本地区乔木</w:t>
      </w:r>
      <w:r>
        <w:rPr>
          <w:rFonts w:hint="default" w:ascii="Times New Roman" w:hAnsi="Times New Roman" w:cs="Times New Roman"/>
        </w:rPr>
        <w:t>植物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以当地品种为主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，增加茶园周围的植被，创造不利于病虫草孳生和有利于各类天敌繁衍的环境条件，增强茶园自然生态调控能力。</w:t>
      </w:r>
    </w:p>
    <w:p w14:paraId="70667E88">
      <w:pPr>
        <w:adjustRightInd w:val="0"/>
        <w:snapToGrid w:val="0"/>
        <w:spacing w:line="360" w:lineRule="auto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>.2.2物理防治</w:t>
      </w:r>
    </w:p>
    <w:p w14:paraId="10720EC5">
      <w:pPr>
        <w:adjustRightInd w:val="0"/>
        <w:snapToGrid w:val="0"/>
        <w:spacing w:line="360" w:lineRule="auto"/>
        <w:rPr>
          <w:rFonts w:hint="default" w:ascii="Times New Roman" w:hAnsi="Times New Roman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>.2.2.1</w:t>
      </w:r>
      <w:r>
        <w:rPr>
          <w:rFonts w:hint="default" w:ascii="Times New Roman" w:hAnsi="Times New Roman"/>
          <w:szCs w:val="21"/>
        </w:rPr>
        <w:t>采用人工捕杀，减轻茶毛虫、蓑蛾类、茶丽纹象甲等害虫。</w:t>
      </w:r>
    </w:p>
    <w:p w14:paraId="0D8075E3">
      <w:pPr>
        <w:adjustRightInd w:val="0"/>
        <w:snapToGrid w:val="0"/>
        <w:spacing w:line="360" w:lineRule="auto"/>
        <w:rPr>
          <w:rFonts w:hint="default" w:ascii="Times New Roman" w:hAnsi="Times New Roman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>.2.2.2</w:t>
      </w:r>
      <w:r>
        <w:rPr>
          <w:rFonts w:hint="default" w:ascii="Times New Roman" w:hAnsi="Times New Roman"/>
          <w:szCs w:val="21"/>
        </w:rPr>
        <w:t>进行灯光诱杀，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default" w:ascii="Times New Roman" w:hAnsi="Times New Roman"/>
          <w:szCs w:val="21"/>
        </w:rPr>
        <w:t>每</w:t>
      </w:r>
      <w:r>
        <w:rPr>
          <w:rFonts w:ascii="Times New Roman" w:hAnsi="Times New Roman"/>
          <w:szCs w:val="21"/>
        </w:rPr>
        <w:t>15</w:t>
      </w:r>
      <w:r>
        <w:rPr>
          <w:rFonts w:hint="default" w:ascii="Times New Roman" w:hAnsi="Times New Roman"/>
          <w:szCs w:val="21"/>
        </w:rPr>
        <w:t>亩茶园安装1盏频振式或太阳能杀虫灯，诱杀茶尺蠖等鳞翅目害虫。</w:t>
      </w:r>
    </w:p>
    <w:p w14:paraId="76407F2F">
      <w:pPr>
        <w:adjustRightInd w:val="0"/>
        <w:snapToGrid w:val="0"/>
        <w:spacing w:line="360" w:lineRule="auto"/>
        <w:rPr>
          <w:rFonts w:hint="default" w:ascii="Times New Roman" w:hAnsi="Times New Roman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>.2.2.3</w:t>
      </w:r>
      <w:r>
        <w:rPr>
          <w:rFonts w:hint="default" w:ascii="Times New Roman" w:hAnsi="Times New Roman"/>
          <w:szCs w:val="21"/>
        </w:rPr>
        <w:t>色板诱杀，每亩在高于茶蓬10cm〜20 cm处悬挂</w:t>
      </w:r>
      <w:r>
        <w:rPr>
          <w:rFonts w:ascii="Times New Roman" w:hAnsi="Times New Roman"/>
          <w:szCs w:val="21"/>
        </w:rPr>
        <w:t>25</w:t>
      </w:r>
      <w:r>
        <w:rPr>
          <w:rFonts w:hint="default" w:ascii="Times New Roman" w:hAnsi="Times New Roman"/>
          <w:szCs w:val="21"/>
        </w:rPr>
        <w:t>〜</w:t>
      </w:r>
      <w:r>
        <w:rPr>
          <w:rFonts w:ascii="Times New Roman" w:hAnsi="Times New Roman"/>
          <w:szCs w:val="21"/>
        </w:rPr>
        <w:t>30</w:t>
      </w:r>
      <w:r>
        <w:rPr>
          <w:rFonts w:hint="default" w:ascii="Times New Roman" w:hAnsi="Times New Roman"/>
          <w:szCs w:val="21"/>
        </w:rPr>
        <w:t>张黄色或蓝色粘虫板诱杀小绿叶蝉、黑刺粉虱、蚜虫和茶黄蓟马，害虫高发期每15d更换一次。</w:t>
      </w:r>
    </w:p>
    <w:p w14:paraId="0F2B347A">
      <w:pPr>
        <w:adjustRightInd w:val="0"/>
        <w:snapToGrid w:val="0"/>
        <w:spacing w:line="360" w:lineRule="auto"/>
        <w:rPr>
          <w:rFonts w:hint="default" w:ascii="Times New Roman" w:hAnsi="Times New Roman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>.2.2.4</w:t>
      </w:r>
      <w:r>
        <w:rPr>
          <w:rFonts w:hint="default" w:ascii="Times New Roman" w:hAnsi="Times New Roman"/>
          <w:szCs w:val="21"/>
        </w:rPr>
        <w:t>昆虫信息素、食诱剂等诱杀。</w:t>
      </w:r>
    </w:p>
    <w:p w14:paraId="047988C4">
      <w:pPr>
        <w:adjustRightInd w:val="0"/>
        <w:snapToGrid w:val="0"/>
        <w:spacing w:line="360" w:lineRule="auto"/>
        <w:rPr>
          <w:rFonts w:hint="default"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 xml:space="preserve">.2.3 </w:t>
      </w:r>
      <w:r>
        <w:rPr>
          <w:rFonts w:ascii="Times New Roman" w:hAnsi="Times New Roman" w:eastAsia="黑体"/>
          <w:szCs w:val="21"/>
        </w:rPr>
        <w:t>生</w:t>
      </w:r>
      <w:r>
        <w:rPr>
          <w:rFonts w:ascii="Times New Roman" w:hAnsi="Times New Roman"/>
          <w:szCs w:val="21"/>
        </w:rPr>
        <w:t>物</w:t>
      </w:r>
      <w:r>
        <w:rPr>
          <w:rFonts w:ascii="Times New Roman" w:hAnsi="Times New Roman" w:eastAsia="黑体"/>
          <w:szCs w:val="21"/>
        </w:rPr>
        <w:t>防治</w:t>
      </w:r>
    </w:p>
    <w:p w14:paraId="08C43ACB">
      <w:pPr>
        <w:adjustRightInd w:val="0"/>
        <w:snapToGrid w:val="0"/>
        <w:spacing w:line="360" w:lineRule="auto"/>
        <w:rPr>
          <w:rFonts w:hint="default" w:ascii="Times New Roman" w:hAnsi="Times New Roman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>.2.3.1</w:t>
      </w:r>
      <w:r>
        <w:rPr>
          <w:rFonts w:hint="default" w:ascii="Times New Roman" w:hAnsi="Times New Roman"/>
          <w:szCs w:val="21"/>
        </w:rPr>
        <w:t>保护和利用茶园中的草蛉、瓢虫、蜘蛛、捕食螨等；</w:t>
      </w:r>
    </w:p>
    <w:p w14:paraId="259BEB1F">
      <w:pPr>
        <w:adjustRightInd w:val="0"/>
        <w:snapToGrid w:val="0"/>
        <w:spacing w:line="360" w:lineRule="auto"/>
        <w:rPr>
          <w:rFonts w:hint="default" w:ascii="Times New Roman" w:hAnsi="Times New Roman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>.2.3.2</w:t>
      </w:r>
      <w:r>
        <w:rPr>
          <w:rFonts w:hint="default" w:ascii="Times New Roman" w:hAnsi="Times New Roman"/>
          <w:szCs w:val="21"/>
        </w:rPr>
        <w:t xml:space="preserve"> 利用天敌防治虫害。每亩释放茶尺蠖绒茧蜂</w:t>
      </w:r>
      <w:r>
        <w:rPr>
          <w:rFonts w:ascii="Times New Roman" w:hAnsi="Times New Roman"/>
          <w:szCs w:val="21"/>
        </w:rPr>
        <w:t>1</w:t>
      </w:r>
      <w:r>
        <w:rPr>
          <w:rFonts w:hint="default" w:ascii="Times New Roman" w:hAnsi="Times New Roman"/>
          <w:szCs w:val="21"/>
        </w:rPr>
        <w:t>万头以上或释放斜纹猫蛛或迷宫漏斗蛛</w:t>
      </w:r>
      <w:r>
        <w:rPr>
          <w:rFonts w:ascii="Times New Roman" w:hAnsi="Times New Roman"/>
          <w:szCs w:val="21"/>
        </w:rPr>
        <w:t>1</w:t>
      </w:r>
      <w:r>
        <w:rPr>
          <w:rFonts w:hint="default" w:ascii="Times New Roman" w:hAnsi="Times New Roman"/>
          <w:szCs w:val="21"/>
        </w:rPr>
        <w:t>千头以上，用以寄生或捕食茶尺蠖；每亩释放叶蝉缨小蜂</w:t>
      </w:r>
      <w:r>
        <w:rPr>
          <w:rFonts w:ascii="Times New Roman" w:hAnsi="Times New Roman"/>
          <w:szCs w:val="21"/>
        </w:rPr>
        <w:t>2.5万</w:t>
      </w:r>
      <w:r>
        <w:rPr>
          <w:rFonts w:hint="default" w:ascii="Times New Roman" w:hAnsi="Times New Roman"/>
          <w:szCs w:val="21"/>
        </w:rPr>
        <w:t>头以上，用以寄生小绿叶蝉的虫卵；每亩释放白斑猎蛛</w:t>
      </w:r>
      <w:r>
        <w:rPr>
          <w:rFonts w:ascii="Times New Roman" w:hAnsi="Times New Roman"/>
          <w:szCs w:val="21"/>
        </w:rPr>
        <w:t>5</w:t>
      </w:r>
      <w:r>
        <w:rPr>
          <w:rFonts w:hint="default" w:ascii="Times New Roman" w:hAnsi="Times New Roman"/>
          <w:szCs w:val="21"/>
        </w:rPr>
        <w:t>千头以上，用以捕食小绿叶蝉；每亩释放德氏钝绥螨或黄瓜钝绥螨</w:t>
      </w:r>
      <w:r>
        <w:rPr>
          <w:rFonts w:ascii="Times New Roman" w:hAnsi="Times New Roman"/>
          <w:szCs w:val="21"/>
        </w:rPr>
        <w:t>30</w:t>
      </w:r>
      <w:r>
        <w:rPr>
          <w:rFonts w:hint="default" w:ascii="Times New Roman" w:hAnsi="Times New Roman"/>
          <w:szCs w:val="21"/>
        </w:rPr>
        <w:t>万头以上，用以捕食茶跗线螨。</w:t>
      </w:r>
      <w:r>
        <w:rPr>
          <w:rFonts w:hint="default" w:ascii="Times New Roman" w:hAnsi="Times New Roman" w:cs="Times New Roman"/>
          <w:color w:val="333333"/>
          <w:kern w:val="36"/>
          <w:szCs w:val="21"/>
        </w:rPr>
        <w:t>期间需避开天敌对农药的敏感期。</w:t>
      </w:r>
    </w:p>
    <w:p w14:paraId="05EEF977">
      <w:pPr>
        <w:adjustRightInd w:val="0"/>
        <w:snapToGrid w:val="0"/>
        <w:spacing w:line="360" w:lineRule="auto"/>
        <w:rPr>
          <w:rFonts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>.2.4化学防治</w:t>
      </w:r>
    </w:p>
    <w:p w14:paraId="793F6866">
      <w:pPr>
        <w:widowControl/>
        <w:spacing w:line="360" w:lineRule="auto"/>
        <w:ind w:firstLine="420" w:firstLineChars="200"/>
        <w:jc w:val="left"/>
        <w:rPr>
          <w:rFonts w:hint="default" w:ascii="Times New Roman" w:hAnsi="Times New Roman"/>
          <w:color w:val="333333"/>
          <w:kern w:val="36"/>
          <w:sz w:val="24"/>
        </w:rPr>
      </w:pPr>
      <w:r>
        <w:rPr>
          <w:rFonts w:hint="default" w:ascii="Times New Roman" w:hAnsi="Times New Roman" w:cs="Times New Roman"/>
          <w:color w:val="333333"/>
          <w:kern w:val="36"/>
          <w:szCs w:val="21"/>
        </w:rPr>
        <w:t>使用的农药应在绿色食品生产允许使用的农药植保产品清单内，农药剂型宜选用环境友好型剂型, 提倡兼治和不同作用机理农药交替使用。农药使用方法应按照产品包装标签规定要求执行，严格控制用药量、施药次数和安全间隔期。</w:t>
      </w:r>
      <w:r>
        <w:rPr>
          <w:rFonts w:hint="default" w:ascii="Times New Roman" w:hAnsi="Times New Roman"/>
          <w:szCs w:val="21"/>
        </w:rPr>
        <w:t>具体防治措施和推荐用药见附录A。</w:t>
      </w:r>
    </w:p>
    <w:p w14:paraId="38DBB222">
      <w:pPr>
        <w:spacing w:line="360" w:lineRule="auto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>.3</w:t>
      </w:r>
      <w:r>
        <w:rPr>
          <w:rFonts w:hint="default" w:ascii="Times New Roman" w:hAnsi="Times New Roman" w:eastAsia="黑体" w:cs="Times New Roman"/>
          <w:bCs/>
          <w:szCs w:val="21"/>
        </w:rPr>
        <w:t>草害防治</w:t>
      </w:r>
    </w:p>
    <w:p w14:paraId="6194C25F"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>.3.1</w:t>
      </w:r>
      <w:r>
        <w:rPr>
          <w:rFonts w:hint="default" w:ascii="Times New Roman" w:hAnsi="Times New Roman" w:cs="Times New Roman"/>
          <w:szCs w:val="21"/>
          <w:shd w:val="clear" w:color="auto" w:fill="FFFFFF"/>
        </w:rPr>
        <w:t>对</w:t>
      </w:r>
      <w:r>
        <w:rPr>
          <w:rFonts w:hint="default" w:ascii="Times New Roman" w:hAnsi="Times New Roman" w:cs="Times New Roman"/>
          <w:szCs w:val="21"/>
        </w:rPr>
        <w:t>于茶园恶性杂草一般应在杂草结籽前采取人工或机械除草，至于一般杂草不必除净，保留一定数量的杂草有利于天敌栖息，调节茶园小气候，改善生态环境。</w:t>
      </w:r>
    </w:p>
    <w:p w14:paraId="30CA448D"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eastAsia="黑体"/>
          <w:szCs w:val="21"/>
          <w:lang w:val="en-US" w:eastAsia="zh-CN"/>
        </w:rPr>
        <w:t>10</w:t>
      </w:r>
      <w:r>
        <w:rPr>
          <w:rFonts w:hint="default" w:ascii="Times New Roman" w:hAnsi="Times New Roman" w:eastAsia="黑体"/>
          <w:szCs w:val="21"/>
        </w:rPr>
        <w:t>.3.2</w:t>
      </w:r>
      <w:r>
        <w:rPr>
          <w:rFonts w:hint="default" w:ascii="Times New Roman" w:hAnsi="Times New Roman" w:cs="Times New Roman"/>
          <w:szCs w:val="21"/>
        </w:rPr>
        <w:t>必须使用化学方法清除杂草时，除草剂应在绿色食品允许使用的产品清单内。</w:t>
      </w:r>
    </w:p>
    <w:p w14:paraId="7EDAEF9F">
      <w:pPr>
        <w:spacing w:line="360" w:lineRule="auto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10.3.3可使用绿色食品允许使用的生物除草剂。</w:t>
      </w:r>
    </w:p>
    <w:p w14:paraId="662AA7CC">
      <w:pPr>
        <w:spacing w:line="360" w:lineRule="auto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eastAsia" w:ascii="Times New Roman" w:hAnsi="Times New Roman" w:eastAsia="黑体" w:cs="Times New Roman"/>
          <w:bCs/>
          <w:szCs w:val="21"/>
          <w:lang w:val="en-US" w:eastAsia="zh-CN"/>
        </w:rPr>
        <w:t>11</w:t>
      </w:r>
      <w:r>
        <w:rPr>
          <w:rFonts w:hint="default" w:ascii="Times New Roman" w:hAnsi="Times New Roman" w:eastAsia="黑体" w:cs="Times New Roman"/>
          <w:bCs/>
          <w:szCs w:val="21"/>
        </w:rPr>
        <w:t xml:space="preserve"> 鲜叶采摘和装运</w:t>
      </w:r>
    </w:p>
    <w:p w14:paraId="5D4B022B">
      <w:pPr>
        <w:spacing w:line="360" w:lineRule="auto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eastAsia" w:ascii="Times New Roman" w:hAnsi="Times New Roman" w:eastAsia="黑体" w:cs="Times New Roman"/>
          <w:bCs/>
          <w:szCs w:val="21"/>
          <w:lang w:val="en-US" w:eastAsia="zh-CN"/>
        </w:rPr>
        <w:t>11</w:t>
      </w:r>
      <w:r>
        <w:rPr>
          <w:rFonts w:hint="default" w:ascii="Times New Roman" w:hAnsi="Times New Roman" w:eastAsia="黑体" w:cs="Times New Roman"/>
          <w:bCs/>
          <w:szCs w:val="21"/>
        </w:rPr>
        <w:t>.1鲜叶采摘</w:t>
      </w:r>
    </w:p>
    <w:p w14:paraId="07DE0613"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普洱茶鲜叶采收，</w:t>
      </w:r>
      <w:r>
        <w:rPr>
          <w:rFonts w:hint="default" w:ascii="Times New Roman" w:hAnsi="Times New Roman"/>
          <w:szCs w:val="21"/>
        </w:rPr>
        <w:t>一般从2月中下旬至10月底。茶叶采摘应采取细嫩采与适中采，</w:t>
      </w:r>
      <w:r>
        <w:rPr>
          <w:rFonts w:ascii="Times New Roman" w:hAnsi="Times New Roman"/>
          <w:szCs w:val="21"/>
        </w:rPr>
        <w:t>及时分批留叶采摘</w:t>
      </w:r>
      <w:r>
        <w:rPr>
          <w:rFonts w:hint="default" w:ascii="Times New Roman" w:hAnsi="Times New Roman"/>
          <w:szCs w:val="21"/>
        </w:rPr>
        <w:t>；</w:t>
      </w:r>
      <w:r>
        <w:rPr>
          <w:rFonts w:hint="default" w:ascii="Times New Roman" w:hAnsi="Times New Roman" w:cs="Times New Roman"/>
          <w:szCs w:val="21"/>
        </w:rPr>
        <w:t>一般分春、夏、秋三季。2</w:t>
      </w:r>
      <w:r>
        <w:rPr>
          <w:rFonts w:hint="default" w:ascii="Times New Roman" w:hAnsi="Times New Roman" w:cs="Times New Roman"/>
          <w:b/>
          <w:szCs w:val="21"/>
        </w:rPr>
        <w:t>～</w:t>
      </w:r>
      <w:r>
        <w:rPr>
          <w:rFonts w:hint="default" w:ascii="Times New Roman" w:hAnsi="Times New Roman" w:cs="Times New Roman"/>
          <w:szCs w:val="21"/>
        </w:rPr>
        <w:t>4月采收春茶，以清明节后15天内采收的春茶为上品，多以采一芽</w:t>
      </w:r>
      <w:r>
        <w:rPr>
          <w:rFonts w:hint="eastAsia" w:ascii="Times New Roman" w:hAnsi="Times New Roman" w:cs="Times New Roman"/>
          <w:szCs w:val="21"/>
          <w:lang w:val="en-US" w:eastAsia="zh-CN"/>
        </w:rPr>
        <w:t>二</w:t>
      </w:r>
      <w:r>
        <w:rPr>
          <w:rFonts w:hint="default" w:ascii="Times New Roman" w:hAnsi="Times New Roman" w:cs="Times New Roman"/>
          <w:szCs w:val="21"/>
        </w:rPr>
        <w:t>叶、一芽</w:t>
      </w:r>
      <w:r>
        <w:rPr>
          <w:rFonts w:hint="eastAsia" w:ascii="Times New Roman" w:hAnsi="Times New Roman" w:cs="Times New Roman"/>
          <w:szCs w:val="21"/>
          <w:lang w:val="en-US" w:eastAsia="zh-CN"/>
        </w:rPr>
        <w:t>三</w:t>
      </w:r>
      <w:r>
        <w:rPr>
          <w:rFonts w:hint="default" w:ascii="Times New Roman" w:hAnsi="Times New Roman" w:cs="Times New Roman"/>
          <w:szCs w:val="21"/>
        </w:rPr>
        <w:t>叶为主；夏茶于5</w:t>
      </w:r>
      <w:r>
        <w:rPr>
          <w:rFonts w:hint="default" w:ascii="Times New Roman" w:hAnsi="Times New Roman" w:cs="Times New Roman"/>
          <w:b/>
          <w:szCs w:val="21"/>
        </w:rPr>
        <w:t>～</w:t>
      </w:r>
      <w:r>
        <w:rPr>
          <w:rFonts w:hint="default" w:ascii="Times New Roman" w:hAnsi="Times New Roman" w:cs="Times New Roman"/>
          <w:szCs w:val="21"/>
        </w:rPr>
        <w:t>7月采收，称雨水茶，茶质相对春茶较低；秋茶于8</w:t>
      </w:r>
      <w:r>
        <w:rPr>
          <w:rFonts w:hint="default" w:ascii="Times New Roman" w:hAnsi="Times New Roman" w:cs="Times New Roman"/>
          <w:b/>
          <w:szCs w:val="21"/>
        </w:rPr>
        <w:t>～</w:t>
      </w:r>
      <w:r>
        <w:rPr>
          <w:rFonts w:hint="default" w:ascii="Times New Roman" w:hAnsi="Times New Roman" w:cs="Times New Roman"/>
          <w:szCs w:val="21"/>
        </w:rPr>
        <w:t>10月采收，称谷花茶，茶质次于春茶；冬茶尽量不采收。</w:t>
      </w:r>
    </w:p>
    <w:p w14:paraId="6EB231C2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11</w:t>
      </w:r>
      <w:r>
        <w:rPr>
          <w:rFonts w:hint="default" w:ascii="Times New Roman" w:hAnsi="Times New Roman" w:cs="Times New Roman"/>
          <w:szCs w:val="21"/>
        </w:rPr>
        <w:t>.</w:t>
      </w:r>
      <w:r>
        <w:rPr>
          <w:rFonts w:hint="eastAsia" w:ascii="Times New Roman" w:hAnsi="Times New Roman" w:cs="Times New Roman"/>
          <w:szCs w:val="21"/>
          <w:lang w:val="en-US" w:eastAsia="zh-CN"/>
        </w:rPr>
        <w:t>1.</w:t>
      </w:r>
      <w:r>
        <w:rPr>
          <w:rFonts w:hint="default" w:ascii="Times New Roman" w:hAnsi="Times New Roman" w:cs="Times New Roman"/>
          <w:szCs w:val="21"/>
        </w:rPr>
        <w:t>1</w:t>
      </w:r>
      <w:r>
        <w:rPr>
          <w:rFonts w:hint="default" w:ascii="Times New Roman" w:hAnsi="Times New Roman"/>
          <w:szCs w:val="21"/>
        </w:rPr>
        <w:t>手工采茶宜采用提手采，保持芽叶完整、新鲜、匀净，不夹带鳞片、茶果与老枝叶。</w:t>
      </w:r>
    </w:p>
    <w:p w14:paraId="6DB35510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11</w:t>
      </w:r>
      <w:r>
        <w:rPr>
          <w:rFonts w:hint="default" w:ascii="Times New Roman" w:hAnsi="Times New Roman"/>
          <w:szCs w:val="21"/>
        </w:rPr>
        <w:t>.1.2 采用清洁、通风性良好的竹编网眼茶篮或篓筐盛装鲜叶，采下的茶叶应及时运抵茶厂，防止鲜叶变质。装鲜叶的器物、运输工具等要专用，防止污染。</w:t>
      </w:r>
    </w:p>
    <w:p w14:paraId="22D0F96D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11</w:t>
      </w:r>
      <w:r>
        <w:rPr>
          <w:rFonts w:hint="default" w:ascii="Times New Roman" w:hAnsi="Times New Roman"/>
          <w:szCs w:val="21"/>
        </w:rPr>
        <w:t>.1.3 采摘的鲜叶应有规范的标签，注明品种、产地、采摘时间及采摘方式等信息。</w:t>
      </w:r>
    </w:p>
    <w:p w14:paraId="3F24C75D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11</w:t>
      </w:r>
      <w:r>
        <w:rPr>
          <w:rFonts w:hint="default" w:ascii="Times New Roman" w:hAnsi="Times New Roman"/>
          <w:szCs w:val="21"/>
        </w:rPr>
        <w:t xml:space="preserve">.1.4 </w:t>
      </w:r>
      <w:r>
        <w:rPr>
          <w:rFonts w:ascii="Times New Roman" w:hAnsi="Times New Roman"/>
          <w:szCs w:val="21"/>
        </w:rPr>
        <w:t>鲜叶进厂后要有专人负责验收</w:t>
      </w:r>
      <w:r>
        <w:rPr>
          <w:rFonts w:hint="default" w:ascii="Times New Roman" w:hAnsi="Times New Roman"/>
          <w:szCs w:val="21"/>
        </w:rPr>
        <w:t>，根据</w:t>
      </w:r>
      <w:r>
        <w:rPr>
          <w:rFonts w:hint="eastAsia" w:ascii="Times New Roman" w:hAnsi="Times New Roman"/>
          <w:szCs w:val="21"/>
          <w:lang w:val="en-US" w:eastAsia="zh-CN"/>
        </w:rPr>
        <w:t>匀整</w:t>
      </w:r>
      <w:r>
        <w:rPr>
          <w:rFonts w:ascii="Times New Roman" w:hAnsi="Times New Roman"/>
          <w:szCs w:val="21"/>
        </w:rPr>
        <w:t>度</w:t>
      </w:r>
      <w:r>
        <w:rPr>
          <w:rFonts w:hint="default" w:ascii="Times New Roman" w:hAnsi="Times New Roman"/>
          <w:szCs w:val="21"/>
        </w:rPr>
        <w:t>、</w:t>
      </w:r>
      <w:r>
        <w:rPr>
          <w:rFonts w:ascii="Times New Roman" w:hAnsi="Times New Roman"/>
          <w:szCs w:val="21"/>
        </w:rPr>
        <w:t>匀净度和新鲜度</w:t>
      </w:r>
      <w:r>
        <w:rPr>
          <w:rFonts w:hint="default" w:ascii="Times New Roman" w:hAnsi="Times New Roman"/>
          <w:szCs w:val="21"/>
        </w:rPr>
        <w:t>进行分级</w:t>
      </w:r>
      <w:r>
        <w:rPr>
          <w:rFonts w:ascii="Times New Roman" w:hAnsi="Times New Roman"/>
          <w:szCs w:val="21"/>
        </w:rPr>
        <w:t>。</w:t>
      </w:r>
    </w:p>
    <w:p w14:paraId="1F73949A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11</w:t>
      </w:r>
      <w:r>
        <w:rPr>
          <w:rFonts w:hint="default" w:ascii="Times New Roman" w:hAnsi="Times New Roman"/>
          <w:szCs w:val="21"/>
        </w:rPr>
        <w:t>.1.5 鲜叶应合理</w:t>
      </w:r>
      <w:r>
        <w:rPr>
          <w:rFonts w:hint="default" w:ascii="Times New Roman" w:hAnsi="Times New Roman"/>
          <w:szCs w:val="21"/>
          <w:lang w:eastAsia="zh-CN"/>
        </w:rPr>
        <w:t>储藏</w:t>
      </w:r>
      <w:r>
        <w:rPr>
          <w:rFonts w:hint="default" w:ascii="Times New Roman" w:hAnsi="Times New Roman"/>
          <w:szCs w:val="21"/>
        </w:rPr>
        <w:t>放，摊放厚度不宜超过</w:t>
      </w:r>
      <w:r>
        <w:rPr>
          <w:rFonts w:ascii="Times New Roman" w:hAnsi="Times New Roman"/>
          <w:szCs w:val="21"/>
        </w:rPr>
        <w:t>20</w:t>
      </w:r>
      <w:r>
        <w:rPr>
          <w:rFonts w:hint="default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cm</w:t>
      </w:r>
      <w:r>
        <w:rPr>
          <w:rFonts w:hint="default" w:ascii="Times New Roman" w:hAnsi="Times New Roman"/>
          <w:szCs w:val="21"/>
        </w:rPr>
        <w:t>，设备贮青按设备要求操作，鲜叶不能与地面接触，贮青设备应清洁、干净。</w:t>
      </w:r>
    </w:p>
    <w:p w14:paraId="42C13312">
      <w:pPr>
        <w:spacing w:line="360" w:lineRule="auto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eastAsia" w:ascii="Times New Roman" w:hAnsi="Times New Roman" w:eastAsia="黑体" w:cs="Times New Roman"/>
          <w:bCs/>
          <w:szCs w:val="21"/>
          <w:lang w:val="en-US" w:eastAsia="zh-CN"/>
        </w:rPr>
        <w:t>11</w:t>
      </w:r>
      <w:r>
        <w:rPr>
          <w:rFonts w:hint="default" w:ascii="Times New Roman" w:hAnsi="Times New Roman" w:eastAsia="黑体" w:cs="Times New Roman"/>
          <w:bCs/>
          <w:szCs w:val="21"/>
        </w:rPr>
        <w:t>.2鲜叶装运</w:t>
      </w:r>
    </w:p>
    <w:p w14:paraId="0CEC09C3">
      <w:pPr>
        <w:spacing w:line="360" w:lineRule="auto"/>
        <w:ind w:firstLine="420" w:firstLineChars="200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default" w:ascii="Times New Roman" w:hAnsi="Times New Roman" w:cs="Times New Roman"/>
          <w:szCs w:val="21"/>
        </w:rPr>
        <w:t>同时生产常规产品和绿色</w:t>
      </w:r>
      <w:r>
        <w:rPr>
          <w:rFonts w:hint="eastAsia" w:ascii="Times New Roman" w:hAnsi="Times New Roman" w:cs="Times New Roman"/>
          <w:szCs w:val="21"/>
          <w:lang w:val="en-US" w:eastAsia="zh-CN"/>
        </w:rPr>
        <w:t>食品</w:t>
      </w:r>
      <w:r>
        <w:rPr>
          <w:rFonts w:hint="default" w:ascii="Times New Roman" w:hAnsi="Times New Roman" w:cs="Times New Roman"/>
          <w:szCs w:val="21"/>
        </w:rPr>
        <w:t>产品茶叶时，鲜叶要分别采摘，分别装运。如无法分别装运，应有明显的标志，并相对隔离装运。</w:t>
      </w:r>
    </w:p>
    <w:p w14:paraId="470CB33B">
      <w:pPr>
        <w:spacing w:line="360" w:lineRule="auto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eastAsia" w:ascii="Times New Roman" w:hAnsi="Times New Roman" w:eastAsia="黑体" w:cs="Times New Roman"/>
          <w:bCs/>
          <w:szCs w:val="21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bCs/>
          <w:szCs w:val="21"/>
        </w:rPr>
        <w:t>茶叶加工</w:t>
      </w:r>
    </w:p>
    <w:p w14:paraId="14B331EC">
      <w:pPr>
        <w:spacing w:line="360" w:lineRule="auto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eastAsia" w:ascii="Times New Roman" w:hAnsi="Times New Roman" w:eastAsia="黑体" w:cs="Times New Roman"/>
          <w:bCs/>
          <w:szCs w:val="21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bCs/>
          <w:szCs w:val="21"/>
        </w:rPr>
        <w:t>.1加工厂</w:t>
      </w:r>
    </w:p>
    <w:p w14:paraId="363FDEAC"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加工厂应远离垃圾场、医院和粪池，离经常喷洒农药农田</w:t>
      </w:r>
      <w:r>
        <w:rPr>
          <w:rFonts w:hint="eastAsia" w:ascii="Times New Roman" w:hAnsi="Times New Roman" w:cs="Times New Roman"/>
          <w:szCs w:val="21"/>
          <w:lang w:val="en-US" w:eastAsia="zh-CN"/>
        </w:rPr>
        <w:t>5</w:t>
      </w:r>
      <w:r>
        <w:rPr>
          <w:rFonts w:hint="default" w:ascii="Times New Roman" w:hAnsi="Times New Roman" w:cs="Times New Roman"/>
          <w:szCs w:val="21"/>
        </w:rPr>
        <w:t>0m以上，离交通主干道</w:t>
      </w:r>
      <w:r>
        <w:rPr>
          <w:rFonts w:hint="eastAsia" w:ascii="Times New Roman" w:hAnsi="Times New Roman" w:cs="Times New Roman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Cs w:val="21"/>
        </w:rPr>
        <w:t>0m以上，远离排放三废工业企业，需具备足够大的晒场。</w:t>
      </w:r>
      <w:r>
        <w:rPr>
          <w:rFonts w:hint="default" w:ascii="Times New Roman" w:hAnsi="Times New Roman"/>
          <w:szCs w:val="21"/>
        </w:rPr>
        <w:t>应符合</w:t>
      </w:r>
      <w:bookmarkStart w:id="1" w:name="OLE_LINK1"/>
      <w:r>
        <w:rPr>
          <w:rFonts w:hint="default" w:ascii="Times New Roman" w:hAnsi="Times New Roman"/>
          <w:szCs w:val="21"/>
        </w:rPr>
        <w:t>GB/T 22111</w:t>
      </w:r>
      <w:bookmarkEnd w:id="1"/>
      <w:r>
        <w:rPr>
          <w:rFonts w:hint="default" w:ascii="Times New Roman" w:hAnsi="Times New Roman"/>
          <w:szCs w:val="21"/>
        </w:rPr>
        <w:t>的规定。</w:t>
      </w:r>
    </w:p>
    <w:p w14:paraId="448D4FE7">
      <w:pPr>
        <w:spacing w:line="360" w:lineRule="auto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eastAsia" w:ascii="Times New Roman" w:hAnsi="Times New Roman" w:eastAsia="黑体" w:cs="Times New Roman"/>
          <w:bCs/>
          <w:szCs w:val="21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bCs/>
          <w:szCs w:val="21"/>
        </w:rPr>
        <w:t>.2加工设备</w:t>
      </w:r>
    </w:p>
    <w:p w14:paraId="46A10062"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    所使用设备材料应符合绿色食品的卫生条件。</w:t>
      </w:r>
      <w:r>
        <w:rPr>
          <w:rFonts w:hint="default" w:ascii="Times New Roman" w:hAnsi="Times New Roman"/>
          <w:szCs w:val="21"/>
        </w:rPr>
        <w:t>应符合GB/T 22111的规定。</w:t>
      </w:r>
    </w:p>
    <w:p w14:paraId="61E0B758"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Cs/>
          <w:szCs w:val="21"/>
          <w:lang w:val="en-US" w:eastAsia="zh-CN"/>
        </w:rPr>
        <w:t>12</w:t>
      </w:r>
      <w:r>
        <w:rPr>
          <w:rFonts w:hint="default" w:ascii="Times New Roman" w:hAnsi="Times New Roman" w:cs="Times New Roman"/>
          <w:bCs/>
          <w:szCs w:val="21"/>
        </w:rPr>
        <w:t>.2.1</w:t>
      </w:r>
      <w:r>
        <w:rPr>
          <w:rFonts w:hint="default" w:ascii="Times New Roman" w:hAnsi="Times New Roman" w:cs="Times New Roman"/>
          <w:szCs w:val="21"/>
        </w:rPr>
        <w:t>可使用铁锅杀青，石磨压制的设备加工茶叶。</w:t>
      </w:r>
    </w:p>
    <w:p w14:paraId="570137C0"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Cs/>
          <w:szCs w:val="21"/>
          <w:lang w:val="en-US" w:eastAsia="zh-CN"/>
        </w:rPr>
        <w:t>12</w:t>
      </w:r>
      <w:r>
        <w:rPr>
          <w:rFonts w:hint="default" w:ascii="Times New Roman" w:hAnsi="Times New Roman" w:cs="Times New Roman"/>
          <w:bCs/>
          <w:szCs w:val="21"/>
        </w:rPr>
        <w:t>.2.2</w:t>
      </w:r>
      <w:r>
        <w:rPr>
          <w:rFonts w:hint="default" w:ascii="Times New Roman" w:hAnsi="Times New Roman" w:cs="Times New Roman"/>
          <w:szCs w:val="21"/>
        </w:rPr>
        <w:t>锅炉应设锅炉间。</w:t>
      </w:r>
    </w:p>
    <w:p w14:paraId="367A1C19">
      <w:pPr>
        <w:spacing w:line="360" w:lineRule="auto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eastAsia" w:ascii="Times New Roman" w:hAnsi="Times New Roman" w:eastAsia="黑体" w:cs="Times New Roman"/>
          <w:bCs/>
          <w:szCs w:val="21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bCs/>
          <w:szCs w:val="21"/>
        </w:rPr>
        <w:t>.3加工人员</w:t>
      </w:r>
    </w:p>
    <w:p w14:paraId="12362371"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/>
          <w:szCs w:val="21"/>
        </w:rPr>
        <w:t>应符合GB/T 22111的规定。</w:t>
      </w:r>
    </w:p>
    <w:p w14:paraId="3DEA659A"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Cs/>
          <w:szCs w:val="21"/>
          <w:lang w:val="en-US" w:eastAsia="zh-CN"/>
        </w:rPr>
        <w:t>12</w:t>
      </w:r>
      <w:r>
        <w:rPr>
          <w:rFonts w:hint="default" w:ascii="Times New Roman" w:hAnsi="Times New Roman" w:cs="Times New Roman"/>
          <w:bCs/>
          <w:szCs w:val="21"/>
        </w:rPr>
        <w:t>.3.1</w:t>
      </w:r>
      <w:r>
        <w:rPr>
          <w:rFonts w:hint="default" w:ascii="Times New Roman" w:hAnsi="Times New Roman" w:cs="Times New Roman"/>
          <w:szCs w:val="21"/>
        </w:rPr>
        <w:t>加工人员上岗前应经过绿色食品生产技术培训。</w:t>
      </w:r>
    </w:p>
    <w:p w14:paraId="640DBAB3"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Cs/>
          <w:szCs w:val="21"/>
          <w:lang w:val="en-US" w:eastAsia="zh-CN"/>
        </w:rPr>
        <w:t>12.</w:t>
      </w:r>
      <w:r>
        <w:rPr>
          <w:rFonts w:hint="default" w:ascii="Times New Roman" w:hAnsi="Times New Roman" w:cs="Times New Roman"/>
          <w:bCs/>
          <w:szCs w:val="21"/>
        </w:rPr>
        <w:t>3.2</w:t>
      </w:r>
      <w:r>
        <w:rPr>
          <w:rFonts w:hint="default" w:ascii="Times New Roman" w:hAnsi="Times New Roman" w:cs="Times New Roman"/>
          <w:szCs w:val="21"/>
        </w:rPr>
        <w:t>加工人员上岗前和每年度均进行健康检查，取得健康证后方能上岗。</w:t>
      </w:r>
    </w:p>
    <w:p w14:paraId="61EFB1FF">
      <w:pPr>
        <w:spacing w:line="360" w:lineRule="auto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eastAsia" w:ascii="Times New Roman" w:hAnsi="Times New Roman" w:eastAsia="黑体" w:cs="Times New Roman"/>
          <w:bCs/>
          <w:szCs w:val="21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bCs/>
          <w:szCs w:val="21"/>
        </w:rPr>
        <w:t>.4加工技术</w:t>
      </w:r>
    </w:p>
    <w:p w14:paraId="71436CF7"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Cs/>
          <w:szCs w:val="21"/>
          <w:lang w:val="en-US" w:eastAsia="zh-CN"/>
        </w:rPr>
        <w:t>12</w:t>
      </w:r>
      <w:r>
        <w:rPr>
          <w:rFonts w:hint="default" w:ascii="Times New Roman" w:hAnsi="Times New Roman" w:cs="Times New Roman"/>
          <w:bCs/>
          <w:szCs w:val="21"/>
        </w:rPr>
        <w:t>.4.1初制加工</w:t>
      </w:r>
      <w:r>
        <w:rPr>
          <w:rFonts w:hint="default" w:ascii="Times New Roman" w:hAnsi="Times New Roman" w:cs="Times New Roman"/>
          <w:szCs w:val="21"/>
        </w:rPr>
        <w:t>:按鲜叶萎凋、杀青、揉捻、干燥（太阳晒）、包装顺序进行加工。</w:t>
      </w:r>
    </w:p>
    <w:p w14:paraId="475B3F80"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萎凋：鲜叶堆放厚度不宜超过30 cm，鲜叶不宜与地面直接接触，应使用萎凋槽。</w:t>
      </w:r>
    </w:p>
    <w:p w14:paraId="0F9AEAF3"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杀青：采用人工锅炒，锅温2</w:t>
      </w:r>
      <w:r>
        <w:rPr>
          <w:rFonts w:hint="eastAsia" w:ascii="Times New Roman" w:hAnsi="Times New Roman" w:cs="Times New Roman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Cs w:val="21"/>
        </w:rPr>
        <w:t>0℃～</w:t>
      </w:r>
      <w:r>
        <w:rPr>
          <w:rFonts w:hint="eastAsia" w:ascii="Times New Roman" w:hAnsi="Times New Roman" w:cs="Times New Roman"/>
          <w:szCs w:val="21"/>
          <w:lang w:val="en-US" w:eastAsia="zh-CN"/>
        </w:rPr>
        <w:t>27</w:t>
      </w:r>
      <w:r>
        <w:rPr>
          <w:rFonts w:hint="default" w:ascii="Times New Roman" w:hAnsi="Times New Roman" w:cs="Times New Roman"/>
          <w:szCs w:val="21"/>
        </w:rPr>
        <w:t>0℃</w:t>
      </w:r>
      <w:r>
        <w:rPr>
          <w:rFonts w:hint="eastAsia" w:ascii="Times New Roman" w:hAnsi="Times New Roman" w:cs="Times New Roman"/>
          <w:szCs w:val="21"/>
          <w:lang w:eastAsia="zh-CN"/>
        </w:rPr>
        <w:t>，</w:t>
      </w:r>
      <w:r>
        <w:rPr>
          <w:rFonts w:hint="eastAsia" w:ascii="Times New Roman" w:hAnsi="Times New Roman" w:cs="Times New Roman"/>
          <w:szCs w:val="21"/>
          <w:lang w:val="en-US" w:eastAsia="zh-CN"/>
        </w:rPr>
        <w:t>炒熟后，</w:t>
      </w:r>
      <w:r>
        <w:rPr>
          <w:rFonts w:hint="default" w:ascii="Times New Roman" w:hAnsi="Times New Roman" w:cs="Times New Roman"/>
          <w:szCs w:val="21"/>
        </w:rPr>
        <w:t>待炒</w:t>
      </w:r>
      <w:r>
        <w:rPr>
          <w:rFonts w:ascii="Times New Roman" w:hAnsi="Times New Roman" w:cs="Times New Roman"/>
          <w:szCs w:val="21"/>
        </w:rPr>
        <w:t>减去水分到生叶原料全部重量的20%</w:t>
      </w:r>
      <w:r>
        <w:rPr>
          <w:rFonts w:hint="default" w:ascii="Times New Roman" w:hAnsi="Times New Roman" w:cs="Times New Roman"/>
          <w:szCs w:val="21"/>
        </w:rPr>
        <w:t>～</w:t>
      </w:r>
      <w:r>
        <w:rPr>
          <w:rFonts w:ascii="Times New Roman" w:hAnsi="Times New Roman" w:cs="Times New Roman"/>
          <w:szCs w:val="21"/>
        </w:rPr>
        <w:t>30%左右</w:t>
      </w:r>
      <w:r>
        <w:rPr>
          <w:rFonts w:hint="default" w:ascii="Times New Roman" w:hAnsi="Times New Roman" w:cs="Times New Roman"/>
          <w:szCs w:val="21"/>
        </w:rPr>
        <w:t>，</w:t>
      </w:r>
      <w:r>
        <w:rPr>
          <w:rFonts w:hint="eastAsia" w:ascii="Times New Roman" w:hAnsi="Times New Roman" w:cs="Times New Roman"/>
          <w:szCs w:val="21"/>
          <w:lang w:val="en-US" w:eastAsia="zh-CN"/>
        </w:rPr>
        <w:t>出锅后集中堆20-30分钟，抖散摊凉。</w:t>
      </w:r>
    </w:p>
    <w:p w14:paraId="43D231DD"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机器杀青掌握</w:t>
      </w:r>
      <w:r>
        <w:rPr>
          <w:rFonts w:ascii="Times New Roman" w:hAnsi="Times New Roman" w:cs="Times New Roman"/>
          <w:szCs w:val="21"/>
        </w:rPr>
        <w:t>嫩叶老杀，老叶嫩杀，杀青时间一般</w:t>
      </w:r>
      <w:r>
        <w:rPr>
          <w:rFonts w:hint="default" w:ascii="Times New Roman" w:hAnsi="Times New Roman" w:cs="Times New Roman"/>
          <w:szCs w:val="21"/>
        </w:rPr>
        <w:t>把握在</w:t>
      </w:r>
      <w:r>
        <w:rPr>
          <w:rFonts w:ascii="Times New Roman" w:hAnsi="Times New Roman" w:cs="Times New Roman"/>
          <w:szCs w:val="21"/>
        </w:rPr>
        <w:t>5</w:t>
      </w:r>
      <w:r>
        <w:rPr>
          <w:rFonts w:hint="default" w:ascii="Times New Roman" w:hAnsi="Times New Roman" w:cs="Times New Roman"/>
          <w:szCs w:val="21"/>
        </w:rPr>
        <w:t>min</w:t>
      </w:r>
      <w:r>
        <w:rPr>
          <w:rFonts w:ascii="Times New Roman" w:hAnsi="Times New Roman" w:cs="Times New Roman"/>
          <w:szCs w:val="21"/>
        </w:rPr>
        <w:t>～7</w:t>
      </w:r>
      <w:r>
        <w:rPr>
          <w:rFonts w:hint="default" w:ascii="Times New Roman" w:hAnsi="Times New Roman" w:cs="Times New Roman"/>
          <w:szCs w:val="21"/>
        </w:rPr>
        <w:t>min</w:t>
      </w:r>
      <w:r>
        <w:rPr>
          <w:rFonts w:ascii="Times New Roman" w:hAnsi="Times New Roman" w:cs="Times New Roman"/>
          <w:szCs w:val="21"/>
        </w:rPr>
        <w:t>，减去水分到生叶原料全部重量的20%</w:t>
      </w:r>
      <w:r>
        <w:rPr>
          <w:rFonts w:hint="default" w:ascii="Times New Roman" w:hAnsi="Times New Roman" w:cs="Times New Roman"/>
          <w:szCs w:val="21"/>
        </w:rPr>
        <w:t>～</w:t>
      </w:r>
      <w:r>
        <w:rPr>
          <w:rFonts w:ascii="Times New Roman" w:hAnsi="Times New Roman" w:cs="Times New Roman"/>
          <w:szCs w:val="21"/>
        </w:rPr>
        <w:t>30%左右</w:t>
      </w:r>
      <w:r>
        <w:rPr>
          <w:rFonts w:hint="default" w:ascii="Times New Roman" w:hAnsi="Times New Roman" w:cs="Times New Roman"/>
          <w:szCs w:val="21"/>
        </w:rPr>
        <w:t>，</w:t>
      </w:r>
      <w:r>
        <w:rPr>
          <w:rFonts w:hint="eastAsia" w:ascii="Times New Roman" w:hAnsi="Times New Roman" w:cs="Times New Roman"/>
          <w:szCs w:val="21"/>
          <w:lang w:val="en-US" w:eastAsia="zh-CN"/>
        </w:rPr>
        <w:t>出锅后集中堆20-30分钟，抖散摊凉。</w:t>
      </w:r>
    </w:p>
    <w:p w14:paraId="0AACE982">
      <w:pPr>
        <w:spacing w:line="360" w:lineRule="auto"/>
        <w:ind w:firstLine="420" w:firstLineChars="20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default" w:ascii="Times New Roman" w:hAnsi="Times New Roman" w:cs="Times New Roman"/>
          <w:szCs w:val="21"/>
        </w:rPr>
        <w:t>揉捻：用机器揉捻时，采取轻～重～轻方式进行，待揉为紧条为宜</w:t>
      </w:r>
      <w:r>
        <w:rPr>
          <w:rFonts w:hint="eastAsia" w:ascii="Times New Roman" w:hAnsi="Times New Roman" w:cs="Times New Roman"/>
          <w:szCs w:val="21"/>
          <w:lang w:eastAsia="zh-CN"/>
        </w:rPr>
        <w:t>。</w:t>
      </w:r>
    </w:p>
    <w:p w14:paraId="6E7B9570">
      <w:pPr>
        <w:spacing w:line="360" w:lineRule="auto"/>
        <w:ind w:firstLine="420" w:firstLineChars="200"/>
        <w:rPr>
          <w:rFonts w:hint="eastAsia" w:ascii="Times New Roman" w:hAnsi="Times New Roman" w:cs="Times New Roman"/>
          <w:szCs w:val="21"/>
          <w:lang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干燥：揉捻后</w:t>
      </w:r>
      <w:r>
        <w:rPr>
          <w:rFonts w:hint="default" w:ascii="Times New Roman" w:hAnsi="Times New Roman" w:cs="Times New Roman"/>
          <w:szCs w:val="21"/>
        </w:rPr>
        <w:t>抖散摊开用太阳晒干</w:t>
      </w:r>
      <w:r>
        <w:rPr>
          <w:rFonts w:hint="eastAsia" w:ascii="Times New Roman" w:hAnsi="Times New Roman" w:cs="Times New Roman"/>
          <w:szCs w:val="21"/>
          <w:lang w:eastAsia="zh-CN"/>
        </w:rPr>
        <w:t>。</w:t>
      </w:r>
    </w:p>
    <w:p w14:paraId="643C6604"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包装：装袋装箱。</w:t>
      </w:r>
    </w:p>
    <w:p w14:paraId="1E8C2CDC">
      <w:pPr>
        <w:spacing w:line="360" w:lineRule="auto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eastAsia" w:ascii="Times New Roman" w:hAnsi="Times New Roman" w:eastAsia="黑体" w:cs="Times New Roman"/>
          <w:bCs/>
          <w:szCs w:val="21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bCs/>
          <w:szCs w:val="21"/>
        </w:rPr>
        <w:t>.4.2精制加工</w:t>
      </w:r>
    </w:p>
    <w:p w14:paraId="5CF5CE29"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Cs/>
          <w:szCs w:val="21"/>
          <w:lang w:val="en-US" w:eastAsia="zh-CN"/>
        </w:rPr>
        <w:t>12</w:t>
      </w:r>
      <w:r>
        <w:rPr>
          <w:rFonts w:hint="default" w:ascii="Times New Roman" w:hAnsi="Times New Roman" w:cs="Times New Roman"/>
          <w:bCs/>
          <w:szCs w:val="21"/>
        </w:rPr>
        <w:t>.4.2.1</w:t>
      </w:r>
      <w:r>
        <w:rPr>
          <w:rFonts w:hint="default" w:ascii="Times New Roman" w:hAnsi="Times New Roman" w:cs="Times New Roman"/>
          <w:szCs w:val="21"/>
        </w:rPr>
        <w:t>普洱茶生茶：按晒青茶、分筛、蒸压、成型、干燥、包装顺序进行加工。普洱生茶采用自然发酵。</w:t>
      </w:r>
    </w:p>
    <w:p w14:paraId="1D094BDF"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Cs/>
          <w:szCs w:val="21"/>
          <w:lang w:val="en-US" w:eastAsia="zh-CN"/>
        </w:rPr>
        <w:t>12</w:t>
      </w:r>
      <w:r>
        <w:rPr>
          <w:rFonts w:hint="default" w:ascii="Times New Roman" w:hAnsi="Times New Roman" w:cs="Times New Roman"/>
          <w:bCs/>
          <w:szCs w:val="21"/>
        </w:rPr>
        <w:t>.4.2.2</w:t>
      </w:r>
      <w:r>
        <w:rPr>
          <w:rStyle w:val="13"/>
          <w:rFonts w:hint="default" w:ascii="Times New Roman" w:hAnsi="Times New Roman" w:cs="Times New Roman"/>
          <w:b w:val="0"/>
          <w:bCs w:val="0"/>
          <w:szCs w:val="21"/>
        </w:rPr>
        <w:t>普洱茶熟茶散茶：按</w:t>
      </w:r>
      <w:r>
        <w:rPr>
          <w:rFonts w:hint="default" w:ascii="Times New Roman" w:hAnsi="Times New Roman" w:cs="Times New Roman"/>
          <w:szCs w:val="21"/>
        </w:rPr>
        <w:t>晒青茶、发酵、分筛、干燥、检验、包装顺序进行加工。</w:t>
      </w:r>
    </w:p>
    <w:p w14:paraId="04123545">
      <w:pPr>
        <w:spacing w:line="360" w:lineRule="auto"/>
        <w:ind w:left="420" w:hanging="420" w:hangingChars="200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Cs/>
          <w:szCs w:val="21"/>
          <w:lang w:val="en-US" w:eastAsia="zh-CN"/>
        </w:rPr>
        <w:t>12</w:t>
      </w:r>
      <w:r>
        <w:rPr>
          <w:rFonts w:hint="default" w:ascii="Times New Roman" w:hAnsi="Times New Roman" w:cs="Times New Roman"/>
          <w:bCs/>
          <w:szCs w:val="21"/>
        </w:rPr>
        <w:t>.4.2.3</w:t>
      </w:r>
      <w:r>
        <w:rPr>
          <w:rFonts w:hint="default" w:ascii="Times New Roman" w:hAnsi="Times New Roman" w:cs="Times New Roman"/>
          <w:szCs w:val="21"/>
        </w:rPr>
        <w:t>普洱茶熟茶紧压茶：按晒青茶、发酵、分筛、蒸压、成型、干燥、检验、包装顺序进行加工。</w:t>
      </w:r>
    </w:p>
    <w:p w14:paraId="41701905">
      <w:pPr>
        <w:spacing w:line="360" w:lineRule="auto"/>
        <w:ind w:left="409" w:leftChars="195" w:firstLine="0" w:firstLineChars="0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发酵：按一定比例拼配晒青茶人工发酵；</w:t>
      </w:r>
    </w:p>
    <w:p w14:paraId="024F3745">
      <w:pPr>
        <w:spacing w:line="360" w:lineRule="auto"/>
        <w:ind w:left="409" w:leftChars="195" w:firstLine="0" w:firstLineChars="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分筛：</w:t>
      </w:r>
      <w:r>
        <w:rPr>
          <w:rFonts w:hint="eastAsia" w:ascii="Times New Roman" w:hAnsi="Times New Roman" w:cs="Times New Roman"/>
          <w:szCs w:val="21"/>
          <w:lang w:val="en-US" w:eastAsia="zh-CN"/>
        </w:rPr>
        <w:t>发酵</w:t>
      </w:r>
      <w:r>
        <w:rPr>
          <w:rFonts w:hint="default" w:ascii="Times New Roman" w:hAnsi="Times New Roman" w:cs="Times New Roman"/>
          <w:szCs w:val="21"/>
        </w:rPr>
        <w:t>好的茶叶用风选机进行风选、捻剔，待拼；</w:t>
      </w:r>
    </w:p>
    <w:p w14:paraId="110E4DA5"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蒸压：按生产产品不同的</w:t>
      </w:r>
      <w:r>
        <w:rPr>
          <w:rFonts w:hint="eastAsia" w:ascii="Times New Roman" w:hAnsi="Times New Roman" w:cs="Times New Roman"/>
          <w:szCs w:val="21"/>
          <w:lang w:val="en-US" w:eastAsia="zh-CN"/>
        </w:rPr>
        <w:t>拼配、</w:t>
      </w:r>
      <w:r>
        <w:rPr>
          <w:rFonts w:hint="default" w:ascii="Times New Roman" w:hAnsi="Times New Roman" w:cs="Times New Roman"/>
          <w:szCs w:val="21"/>
        </w:rPr>
        <w:t>重量称量，用蒸气蒸软，依不同外形等进行成型压制；</w:t>
      </w:r>
    </w:p>
    <w:p w14:paraId="217D40C9"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    成型：外观为饼、沱、砖形状机压成型；</w:t>
      </w:r>
    </w:p>
    <w:p w14:paraId="34A43D7A"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干燥：应用热介质将湿</w:t>
      </w:r>
      <w:r>
        <w:rPr>
          <w:rFonts w:hint="eastAsia" w:ascii="Times New Roman" w:hAnsi="Times New Roman" w:cs="Times New Roman"/>
          <w:szCs w:val="21"/>
          <w:lang w:val="en-US" w:eastAsia="zh-CN"/>
        </w:rPr>
        <w:t>产品</w:t>
      </w:r>
      <w:r>
        <w:rPr>
          <w:rFonts w:hint="default" w:ascii="Times New Roman" w:hAnsi="Times New Roman" w:cs="Times New Roman"/>
          <w:szCs w:val="21"/>
        </w:rPr>
        <w:t>加热（烘房干燥，温度60度左右，25小时左右），使水分汽化到足干（含水量在5</w:t>
      </w:r>
      <w:r>
        <w:rPr>
          <w:rFonts w:ascii="Times New Roman" w:hAnsi="Times New Roman" w:cs="Times New Roman"/>
          <w:szCs w:val="21"/>
        </w:rPr>
        <w:t>%</w:t>
      </w:r>
      <w:r>
        <w:rPr>
          <w:rFonts w:hint="default" w:ascii="Times New Roman" w:hAnsi="Times New Roman" w:cs="Times New Roman"/>
          <w:szCs w:val="21"/>
        </w:rPr>
        <w:t>左右）。在加工过程中不允许使用任何添加剂。</w:t>
      </w:r>
    </w:p>
    <w:p w14:paraId="26B1A202">
      <w:pPr>
        <w:spacing w:line="360" w:lineRule="auto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eastAsia" w:ascii="Times New Roman" w:hAnsi="Times New Roman" w:eastAsia="黑体" w:cs="Times New Roman"/>
          <w:bCs/>
          <w:szCs w:val="21"/>
          <w:lang w:val="en-US" w:eastAsia="zh-CN"/>
        </w:rPr>
        <w:t>13</w:t>
      </w:r>
      <w:r>
        <w:rPr>
          <w:rFonts w:hint="default" w:ascii="Times New Roman" w:hAnsi="Times New Roman" w:eastAsia="黑体" w:cs="Times New Roman"/>
          <w:bCs/>
          <w:szCs w:val="21"/>
        </w:rPr>
        <w:t>生产废弃物的处理</w:t>
      </w:r>
    </w:p>
    <w:p w14:paraId="15BFF930">
      <w:pPr>
        <w:autoSpaceDE w:val="0"/>
        <w:autoSpaceDN w:val="0"/>
        <w:adjustRightInd w:val="0"/>
        <w:spacing w:before="120" w:after="120" w:line="360" w:lineRule="auto"/>
        <w:ind w:firstLine="420" w:firstLineChars="20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地膜、农药包装袋等带出园外进行集中无害化处理，减少环境污染。修剪的废弃枝叶、自然落叶可就地覆盖于茶树根部。</w:t>
      </w:r>
      <w:r>
        <w:rPr>
          <w:rFonts w:hint="default" w:ascii="Times New Roman" w:hAnsi="Times New Roman"/>
          <w:szCs w:val="21"/>
        </w:rPr>
        <w:t>加工厂的生产、生活垃圾，应分类送城乡垃圾处理厂处理。</w:t>
      </w:r>
    </w:p>
    <w:p w14:paraId="5F90C41F">
      <w:pPr>
        <w:spacing w:line="360" w:lineRule="auto"/>
        <w:rPr>
          <w:rFonts w:hint="eastAsia" w:ascii="Times New Roman" w:hAnsi="Times New Roman" w:eastAsia="黑体" w:cs="Times New Roman"/>
          <w:szCs w:val="21"/>
          <w:lang w:eastAsia="zh-CN"/>
        </w:rPr>
      </w:pPr>
      <w:r>
        <w:rPr>
          <w:rFonts w:hint="eastAsia" w:ascii="Times New Roman" w:hAnsi="Times New Roman" w:eastAsia="黑体" w:cs="Times New Roman"/>
          <w:szCs w:val="21"/>
          <w:lang w:val="en-US" w:eastAsia="zh-CN"/>
        </w:rPr>
        <w:t xml:space="preserve">14 </w:t>
      </w:r>
      <w:r>
        <w:rPr>
          <w:rFonts w:hint="default" w:ascii="Times New Roman" w:hAnsi="Times New Roman" w:eastAsia="黑体" w:cs="Times New Roman"/>
          <w:szCs w:val="21"/>
        </w:rPr>
        <w:t>包装</w:t>
      </w:r>
      <w:r>
        <w:rPr>
          <w:rFonts w:hint="eastAsia" w:ascii="Times New Roman" w:hAnsi="Times New Roman" w:eastAsia="黑体" w:cs="Times New Roman"/>
          <w:szCs w:val="21"/>
          <w:lang w:eastAsia="zh-CN"/>
        </w:rPr>
        <w:t>、储藏和运输</w:t>
      </w:r>
    </w:p>
    <w:p w14:paraId="401DA365">
      <w:pPr>
        <w:spacing w:line="360" w:lineRule="auto"/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14</w:t>
      </w:r>
      <w:r>
        <w:rPr>
          <w:rFonts w:hint="default" w:ascii="Times New Roman" w:hAnsi="Times New Roman" w:cs="Times New Roman"/>
          <w:b/>
          <w:bCs/>
          <w:szCs w:val="21"/>
        </w:rPr>
        <w:t>.1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 xml:space="preserve"> 包装</w:t>
      </w:r>
    </w:p>
    <w:p w14:paraId="46696D66"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Cs/>
          <w:szCs w:val="21"/>
          <w:lang w:val="en-US" w:eastAsia="zh-CN"/>
        </w:rPr>
        <w:t xml:space="preserve">14.1.1 </w:t>
      </w:r>
      <w:r>
        <w:rPr>
          <w:rFonts w:hint="default" w:ascii="Times New Roman" w:hAnsi="Times New Roman" w:cs="Times New Roman"/>
          <w:bCs/>
          <w:szCs w:val="21"/>
        </w:rPr>
        <w:t>普洱茶</w:t>
      </w:r>
      <w:bookmarkStart w:id="2" w:name="OLE_LINK4"/>
      <w:r>
        <w:rPr>
          <w:rFonts w:hint="default" w:ascii="Times New Roman" w:hAnsi="Times New Roman" w:cs="Times New Roman"/>
          <w:szCs w:val="21"/>
        </w:rPr>
        <w:t>包装</w:t>
      </w:r>
      <w:bookmarkEnd w:id="2"/>
      <w:r>
        <w:rPr>
          <w:rFonts w:hint="default" w:ascii="Times New Roman" w:hAnsi="Times New Roman" w:cs="Times New Roman"/>
          <w:szCs w:val="21"/>
        </w:rPr>
        <w:t>采用</w:t>
      </w:r>
      <w:r>
        <w:rPr>
          <w:rFonts w:hint="default" w:ascii="Times New Roman" w:hAnsi="Times New Roman" w:cs="Times New Roman"/>
          <w:szCs w:val="21"/>
          <w:lang w:val="en-US"/>
        </w:rPr>
        <w:t>绵</w:t>
      </w:r>
      <w:r>
        <w:rPr>
          <w:rFonts w:hint="default" w:ascii="Times New Roman" w:hAnsi="Times New Roman" w:cs="Times New Roman"/>
          <w:szCs w:val="21"/>
        </w:rPr>
        <w:t>纸、纸箱、</w:t>
      </w:r>
      <w:r>
        <w:rPr>
          <w:rFonts w:hint="eastAsia" w:ascii="Times New Roman" w:hAnsi="Times New Roman" w:cs="Times New Roman"/>
          <w:szCs w:val="21"/>
          <w:lang w:val="en-US" w:eastAsia="zh-CN"/>
        </w:rPr>
        <w:t>笋叶、</w:t>
      </w:r>
      <w:r>
        <w:rPr>
          <w:rFonts w:hint="default" w:ascii="Times New Roman" w:hAnsi="Times New Roman" w:cs="Times New Roman"/>
          <w:szCs w:val="21"/>
        </w:rPr>
        <w:t>竹篮等包装材料，不使用报纸等油墨印刷纸张包装茶叶，直接接触茶叶的包装用纸达到</w:t>
      </w:r>
      <w:bookmarkStart w:id="3" w:name="OLE_LINK2"/>
      <w:r>
        <w:rPr>
          <w:rFonts w:hint="default" w:ascii="Times New Roman" w:hAnsi="Times New Roman" w:cs="Times New Roman"/>
          <w:szCs w:val="21"/>
        </w:rPr>
        <w:t>GB</w:t>
      </w:r>
      <w:bookmarkEnd w:id="3"/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4806.8要求</w:t>
      </w:r>
      <w:r>
        <w:rPr>
          <w:rFonts w:hint="default" w:ascii="Times New Roman" w:hAnsi="Times New Roman" w:cs="Times New Roman"/>
          <w:szCs w:val="21"/>
        </w:rPr>
        <w:t>。</w:t>
      </w:r>
    </w:p>
    <w:p w14:paraId="25DDF5D1">
      <w:pPr>
        <w:spacing w:line="360" w:lineRule="auto"/>
        <w:rPr>
          <w:rFonts w:hint="default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 xml:space="preserve">14.1.2 </w:t>
      </w:r>
      <w:r>
        <w:rPr>
          <w:rFonts w:hint="default" w:ascii="Times New Roman" w:hAnsi="Times New Roman" w:cs="Times New Roman"/>
          <w:szCs w:val="21"/>
        </w:rPr>
        <w:t>包装不准使用聚氯乙烯、聚苯乙烯材料包装茶叶，不准使用盛装过其他物品的食品袋包装茶叶。重复包装茶叶的布袋使用前应清洗干净。</w:t>
      </w:r>
    </w:p>
    <w:p w14:paraId="0B0A616F">
      <w:pPr>
        <w:autoSpaceDE w:val="0"/>
        <w:autoSpaceDN w:val="0"/>
        <w:adjustRightInd w:val="0"/>
        <w:spacing w:line="380" w:lineRule="exact"/>
        <w:ind w:firstLine="0" w:firstLineChars="0"/>
        <w:rPr>
          <w:rFonts w:hint="eastAsia" w:ascii="Times New Roman" w:hAnsi="Times New Roman"/>
          <w:color w:val="000000"/>
          <w:kern w:val="0"/>
        </w:rPr>
      </w:pP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 xml:space="preserve">14.1.3 </w:t>
      </w:r>
      <w:r>
        <w:rPr>
          <w:rFonts w:hint="default" w:ascii="Times New Roman" w:hAnsi="Times New Roman" w:cs="Times New Roman"/>
          <w:bCs/>
          <w:szCs w:val="21"/>
        </w:rPr>
        <w:t>产品包装</w:t>
      </w:r>
      <w:r>
        <w:rPr>
          <w:rFonts w:hint="eastAsia" w:ascii="Times New Roman" w:hAnsi="Times New Roman" w:cs="Times New Roman"/>
          <w:bCs/>
          <w:szCs w:val="21"/>
          <w:lang w:eastAsia="zh-CN"/>
        </w:rPr>
        <w:t>标识</w:t>
      </w:r>
      <w:r>
        <w:rPr>
          <w:rFonts w:hint="default" w:ascii="Times New Roman" w:hAnsi="Times New Roman" w:cs="Times New Roman"/>
          <w:bCs/>
          <w:szCs w:val="21"/>
        </w:rPr>
        <w:t>应符合GB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szCs w:val="21"/>
        </w:rPr>
        <w:t>7718</w:t>
      </w:r>
      <w:r>
        <w:rPr>
          <w:rFonts w:hint="eastAsia" w:ascii="Times New Roman" w:hAnsi="Times New Roman" w:cs="Times New Roman"/>
          <w:bCs/>
          <w:szCs w:val="21"/>
          <w:lang w:eastAsia="zh-CN"/>
        </w:rPr>
        <w:t>的</w:t>
      </w:r>
      <w:r>
        <w:rPr>
          <w:rFonts w:hint="default" w:ascii="Times New Roman" w:hAnsi="Times New Roman" w:cs="Times New Roman"/>
          <w:bCs/>
          <w:szCs w:val="21"/>
        </w:rPr>
        <w:t>要求，绿色食品标志使用应</w:t>
      </w:r>
      <w:r>
        <w:rPr>
          <w:rFonts w:ascii="Times New Roman" w:hAnsi="Times New Roman"/>
          <w:color w:val="000000"/>
          <w:kern w:val="0"/>
        </w:rPr>
        <w:t>符合NY/T 658的规定</w:t>
      </w:r>
      <w:r>
        <w:rPr>
          <w:rFonts w:hint="eastAsia" w:ascii="Times New Roman" w:hAnsi="Times New Roman"/>
          <w:color w:val="000000"/>
          <w:kern w:val="0"/>
          <w:lang w:eastAsia="zh-CN"/>
        </w:rPr>
        <w:t>。</w:t>
      </w:r>
    </w:p>
    <w:p w14:paraId="7299C66C">
      <w:pPr>
        <w:spacing w:line="360" w:lineRule="auto"/>
        <w:rPr>
          <w:rFonts w:hint="default" w:ascii="Times New Roman" w:hAnsi="Times New Roman" w:eastAsia="黑体" w:cs="Times New Roman"/>
          <w:szCs w:val="21"/>
        </w:rPr>
      </w:pPr>
      <w:r>
        <w:rPr>
          <w:rFonts w:hint="default" w:ascii="Times New Roman" w:hAnsi="Times New Roman" w:eastAsia="黑体" w:cs="Times New Roman"/>
          <w:szCs w:val="21"/>
        </w:rPr>
        <w:t>1</w:t>
      </w:r>
      <w:r>
        <w:rPr>
          <w:rFonts w:hint="eastAsia" w:ascii="Times New Roman" w:hAnsi="Times New Roman" w:eastAsia="黑体" w:cs="Times New Roman"/>
          <w:szCs w:val="21"/>
          <w:lang w:val="en-US" w:eastAsia="zh-CN"/>
        </w:rPr>
        <w:t>4.2</w:t>
      </w:r>
      <w:r>
        <w:rPr>
          <w:rFonts w:hint="default" w:ascii="Times New Roman" w:hAnsi="Times New Roman" w:eastAsia="黑体" w:cs="Times New Roman"/>
          <w:szCs w:val="21"/>
          <w:lang w:eastAsia="zh-CN"/>
        </w:rPr>
        <w:t>储</w:t>
      </w:r>
      <w:r>
        <w:rPr>
          <w:rFonts w:hint="default" w:ascii="Times New Roman" w:hAnsi="Times New Roman" w:eastAsia="黑体" w:cs="Times New Roman"/>
          <w:szCs w:val="21"/>
        </w:rPr>
        <w:t>藏</w:t>
      </w:r>
    </w:p>
    <w:p w14:paraId="12C3E9C6">
      <w:pPr>
        <w:spacing w:line="360" w:lineRule="auto"/>
        <w:rPr>
          <w:rFonts w:hint="default" w:ascii="Times New Roman" w:hAnsi="Times New Roman" w:eastAsia="黑体"/>
        </w:rPr>
      </w:pPr>
      <w:r>
        <w:rPr>
          <w:rFonts w:hint="default" w:ascii="Times New Roman" w:hAnsi="Times New Roman" w:eastAsia="黑体" w:cs="Times New Roman"/>
          <w:szCs w:val="21"/>
        </w:rPr>
        <w:t>1</w:t>
      </w:r>
      <w:r>
        <w:rPr>
          <w:rFonts w:hint="eastAsia" w:ascii="Times New Roman" w:hAnsi="Times New Roman" w:eastAsia="黑体" w:cs="Times New Roman"/>
          <w:szCs w:val="21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Cs w:val="21"/>
        </w:rPr>
        <w:t>.</w:t>
      </w:r>
      <w:r>
        <w:rPr>
          <w:rFonts w:hint="eastAsia" w:ascii="Times New Roman" w:hAnsi="Times New Roman" w:eastAsia="黑体" w:cs="Times New Roman"/>
          <w:szCs w:val="21"/>
          <w:lang w:val="en-US" w:eastAsia="zh-CN"/>
        </w:rPr>
        <w:t>2.1</w:t>
      </w:r>
      <w:r>
        <w:rPr>
          <w:rFonts w:hint="default" w:ascii="Times New Roman" w:hAnsi="Times New Roman" w:eastAsia="黑体" w:cs="Times New Roman"/>
          <w:szCs w:val="21"/>
        </w:rPr>
        <w:t>空气流通</w:t>
      </w:r>
      <w:r>
        <w:rPr>
          <w:rFonts w:hint="default" w:ascii="Times New Roman" w:hAnsi="Times New Roman" w:eastAsia="黑体"/>
        </w:rPr>
        <w:t> </w:t>
      </w:r>
    </w:p>
    <w:p w14:paraId="408F6D0F">
      <w:pPr>
        <w:spacing w:line="360" w:lineRule="auto"/>
        <w:ind w:firstLine="420" w:firstLineChars="200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>有适度流通的空气，不能放于风口；周围环境不能有异味，否则茶叶会变味；不可以摆放于厨房中。</w:t>
      </w:r>
    </w:p>
    <w:p w14:paraId="283C4D78">
      <w:pPr>
        <w:spacing w:line="360" w:lineRule="auto"/>
        <w:rPr>
          <w:rFonts w:hint="default" w:ascii="Times New Roman" w:hAnsi="Times New Roman" w:eastAsia="黑体" w:cs="Times New Roman"/>
          <w:szCs w:val="21"/>
        </w:rPr>
      </w:pPr>
      <w:r>
        <w:rPr>
          <w:rFonts w:hint="default" w:ascii="Times New Roman" w:hAnsi="Times New Roman" w:eastAsia="黑体" w:cs="Times New Roman"/>
          <w:szCs w:val="21"/>
        </w:rPr>
        <w:t>1</w:t>
      </w:r>
      <w:r>
        <w:rPr>
          <w:rFonts w:hint="eastAsia" w:ascii="Times New Roman" w:hAnsi="Times New Roman" w:eastAsia="黑体" w:cs="Times New Roman"/>
          <w:szCs w:val="21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Cs w:val="21"/>
        </w:rPr>
        <w:t>.</w:t>
      </w:r>
      <w:r>
        <w:rPr>
          <w:rFonts w:hint="eastAsia" w:ascii="Times New Roman" w:hAnsi="Times New Roman" w:eastAsia="黑体" w:cs="Times New Roman"/>
          <w:szCs w:val="21"/>
          <w:lang w:val="en-US" w:eastAsia="zh-CN"/>
        </w:rPr>
        <w:t>2.2</w:t>
      </w:r>
      <w:r>
        <w:rPr>
          <w:rFonts w:hint="default" w:ascii="Times New Roman" w:hAnsi="Times New Roman" w:eastAsia="黑体" w:cs="Times New Roman"/>
          <w:szCs w:val="21"/>
        </w:rPr>
        <w:t>温度恒定</w:t>
      </w:r>
    </w:p>
    <w:p w14:paraId="30276E9B">
      <w:pPr>
        <w:spacing w:line="360" w:lineRule="auto"/>
        <w:ind w:firstLine="420" w:firstLineChars="200"/>
        <w:rPr>
          <w:rFonts w:hint="default" w:ascii="Times New Roman" w:hAnsi="Times New Roman"/>
          <w:bCs/>
        </w:rPr>
      </w:pPr>
      <w:r>
        <w:rPr>
          <w:rFonts w:hint="default" w:ascii="Times New Roman" w:hAnsi="Times New Roman" w:cs="Times New Roman"/>
          <w:bCs/>
          <w:szCs w:val="21"/>
        </w:rPr>
        <w:t xml:space="preserve"> 以当地环境为主，正常室内温度，不宜太高或太低，最适宜温度20°～30°；不能被太阳照射，在阴凉处存放为好。</w:t>
      </w:r>
      <w:r>
        <w:rPr>
          <w:rFonts w:hint="default" w:ascii="Times New Roman" w:hAnsi="Times New Roman"/>
          <w:bCs/>
        </w:rPr>
        <w:t> </w:t>
      </w:r>
    </w:p>
    <w:p w14:paraId="0DE65D76">
      <w:pPr>
        <w:spacing w:line="360" w:lineRule="auto"/>
        <w:rPr>
          <w:rFonts w:hint="default" w:ascii="Times New Roman" w:hAnsi="Times New Roman" w:eastAsia="黑体" w:cs="Times New Roman"/>
          <w:szCs w:val="21"/>
        </w:rPr>
      </w:pPr>
      <w:r>
        <w:rPr>
          <w:rFonts w:hint="default" w:ascii="Times New Roman" w:hAnsi="Times New Roman" w:eastAsia="黑体" w:cs="Times New Roman"/>
          <w:szCs w:val="21"/>
        </w:rPr>
        <w:t>1</w:t>
      </w:r>
      <w:r>
        <w:rPr>
          <w:rFonts w:hint="eastAsia" w:ascii="Times New Roman" w:hAnsi="Times New Roman" w:eastAsia="黑体" w:cs="Times New Roman"/>
          <w:szCs w:val="21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Cs w:val="21"/>
        </w:rPr>
        <w:t>.</w:t>
      </w:r>
      <w:r>
        <w:rPr>
          <w:rFonts w:hint="eastAsia" w:ascii="Times New Roman" w:hAnsi="Times New Roman" w:eastAsia="黑体" w:cs="Times New Roman"/>
          <w:szCs w:val="21"/>
          <w:lang w:val="en-US" w:eastAsia="zh-CN"/>
        </w:rPr>
        <w:t>2.3</w:t>
      </w:r>
      <w:r>
        <w:rPr>
          <w:rFonts w:hint="default" w:ascii="Times New Roman" w:hAnsi="Times New Roman" w:eastAsia="黑体" w:cs="Times New Roman"/>
          <w:szCs w:val="21"/>
        </w:rPr>
        <w:t>湿度适当</w:t>
      </w:r>
    </w:p>
    <w:p w14:paraId="1151B969">
      <w:pPr>
        <w:spacing w:line="360" w:lineRule="auto"/>
        <w:ind w:firstLine="420" w:firstLineChars="200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>以“干仓”存放，“干仓”指在干燥环境中存放，忌湿。太过潮湿环境往往会使普洱茶“霉变”，令茶叶不可饮用。太干燥环境会令普洱茶陈化变得缓慢，又要有一定的湿气，湿度可考虑人为控制。</w:t>
      </w:r>
    </w:p>
    <w:p w14:paraId="4F22E9DB">
      <w:pPr>
        <w:spacing w:line="360" w:lineRule="auto"/>
        <w:rPr>
          <w:rFonts w:hint="default" w:ascii="Times New Roman" w:hAnsi="Times New Roman" w:eastAsia="黑体" w:cs="Times New Roman"/>
          <w:szCs w:val="21"/>
        </w:rPr>
      </w:pPr>
      <w:r>
        <w:rPr>
          <w:rFonts w:hint="default" w:ascii="Times New Roman" w:hAnsi="Times New Roman" w:eastAsia="黑体" w:cs="Times New Roman"/>
          <w:szCs w:val="21"/>
        </w:rPr>
        <w:t>1</w:t>
      </w:r>
      <w:r>
        <w:rPr>
          <w:rFonts w:hint="eastAsia" w:ascii="Times New Roman" w:hAnsi="Times New Roman" w:eastAsia="黑体" w:cs="Times New Roman"/>
          <w:szCs w:val="21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Cs w:val="21"/>
        </w:rPr>
        <w:t>.</w:t>
      </w:r>
      <w:r>
        <w:rPr>
          <w:rFonts w:hint="eastAsia" w:ascii="Times New Roman" w:hAnsi="Times New Roman" w:eastAsia="黑体" w:cs="Times New Roman"/>
          <w:szCs w:val="21"/>
          <w:lang w:val="en-US" w:eastAsia="zh-CN"/>
        </w:rPr>
        <w:t>2.4</w:t>
      </w:r>
      <w:r>
        <w:rPr>
          <w:rFonts w:hint="default" w:ascii="Times New Roman" w:hAnsi="Times New Roman" w:eastAsia="黑体" w:cs="Times New Roman"/>
          <w:szCs w:val="21"/>
        </w:rPr>
        <w:t>虫鼠害控制</w:t>
      </w:r>
    </w:p>
    <w:p w14:paraId="16D3FC90">
      <w:pPr>
        <w:spacing w:line="360" w:lineRule="auto"/>
        <w:ind w:firstLine="411" w:firstLineChars="196"/>
        <w:rPr>
          <w:rFonts w:hint="default" w:ascii="Times New Roman" w:hAnsi="Times New Roman" w:cs="Times New Roman"/>
          <w:bCs/>
          <w:szCs w:val="21"/>
          <w:highlight w:val="none"/>
        </w:rPr>
      </w:pPr>
      <w:r>
        <w:rPr>
          <w:rFonts w:hint="default" w:ascii="Times New Roman" w:hAnsi="Times New Roman" w:cs="Times New Roman"/>
          <w:bCs/>
          <w:szCs w:val="21"/>
          <w:lang w:eastAsia="zh-CN"/>
        </w:rPr>
        <w:t>储</w:t>
      </w:r>
      <w:r>
        <w:rPr>
          <w:rFonts w:hint="default" w:ascii="Times New Roman" w:hAnsi="Times New Roman" w:cs="Times New Roman"/>
          <w:bCs/>
          <w:szCs w:val="21"/>
        </w:rPr>
        <w:t>藏仓库应具备纱窗、防虫网及挡鼠板等设施防治虫鼠害，建议不使用任何药物防治虫鼠害</w:t>
      </w:r>
      <w:r>
        <w:rPr>
          <w:rFonts w:hint="default" w:ascii="Times New Roman" w:hAnsi="Times New Roman" w:cs="Times New Roman"/>
          <w:bCs/>
          <w:szCs w:val="21"/>
          <w:highlight w:val="none"/>
        </w:rPr>
        <w:t>。</w:t>
      </w:r>
    </w:p>
    <w:p w14:paraId="02A65A58">
      <w:pPr>
        <w:spacing w:line="360" w:lineRule="auto"/>
        <w:ind w:firstLine="0" w:firstLineChars="0"/>
        <w:rPr>
          <w:rFonts w:hint="eastAsia" w:ascii="Times New Roman" w:hAnsi="Times New Roman" w:cs="Times New Roman"/>
          <w:bCs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zCs w:val="21"/>
          <w:highlight w:val="none"/>
          <w:lang w:val="en-US" w:eastAsia="zh-CN"/>
        </w:rPr>
        <w:t>14.3 运输</w:t>
      </w:r>
    </w:p>
    <w:p w14:paraId="11795849">
      <w:pPr>
        <w:spacing w:line="360" w:lineRule="auto"/>
        <w:ind w:firstLine="0" w:firstLineChars="0"/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Cs/>
          <w:szCs w:val="21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Cs/>
          <w:highlight w:val="none"/>
        </w:rPr>
        <w:t>茶叶的</w:t>
      </w:r>
      <w:r>
        <w:rPr>
          <w:rFonts w:hint="default" w:ascii="Times New Roman" w:hAnsi="Times New Roman" w:cs="Times New Roman"/>
          <w:bCs/>
          <w:highlight w:val="none"/>
          <w:lang w:eastAsia="zh-CN"/>
        </w:rPr>
        <w:t>储</w:t>
      </w:r>
      <w:r>
        <w:rPr>
          <w:rFonts w:hint="default" w:ascii="Times New Roman" w:hAnsi="Times New Roman" w:cs="Times New Roman"/>
          <w:bCs/>
          <w:highlight w:val="none"/>
        </w:rPr>
        <w:t>藏运输应符合</w:t>
      </w:r>
      <w:r>
        <w:rPr>
          <w:rFonts w:hint="default" w:ascii="Times New Roman" w:hAnsi="Times New Roman" w:cs="Times New Roman"/>
          <w:szCs w:val="21"/>
          <w:highlight w:val="none"/>
        </w:rPr>
        <w:t>NY/T 1056要求。</w:t>
      </w:r>
      <w:r>
        <w:rPr>
          <w:rFonts w:hint="default" w:ascii="Times New Roman" w:hAnsi="Times New Roman" w:cs="Times New Roman"/>
          <w:color w:val="000000"/>
          <w:kern w:val="36"/>
          <w:szCs w:val="21"/>
          <w:highlight w:val="none"/>
        </w:rPr>
        <w:t>运输的车辆应清洁、干净，</w:t>
      </w:r>
      <w:r>
        <w:rPr>
          <w:rFonts w:hint="eastAsia" w:ascii="Times New Roman" w:hAnsi="Times New Roman" w:cs="Times New Roman"/>
          <w:color w:val="000000"/>
          <w:kern w:val="36"/>
          <w:szCs w:val="21"/>
          <w:highlight w:val="none"/>
          <w:lang w:eastAsia="zh-CN"/>
        </w:rPr>
        <w:t>运输过程中应防止混淆、污染、异物混入、包装破损、雨雪淋湿等，</w:t>
      </w:r>
      <w:r>
        <w:rPr>
          <w:rFonts w:hint="default" w:ascii="Times New Roman" w:hAnsi="Times New Roman" w:cs="Times New Roman"/>
          <w:color w:val="000000"/>
          <w:kern w:val="36"/>
          <w:szCs w:val="21"/>
          <w:highlight w:val="none"/>
        </w:rPr>
        <w:t>货物装御应轻装轻放。</w:t>
      </w:r>
    </w:p>
    <w:p w14:paraId="191FC2B7">
      <w:pPr>
        <w:spacing w:line="360" w:lineRule="auto"/>
        <w:rPr>
          <w:rFonts w:hint="default" w:ascii="Times New Roman" w:hAnsi="Times New Roman" w:eastAsia="黑体" w:cs="Times New Roman"/>
          <w:szCs w:val="21"/>
          <w:highlight w:val="none"/>
        </w:rPr>
      </w:pPr>
      <w:r>
        <w:rPr>
          <w:rFonts w:hint="default" w:ascii="Times New Roman" w:hAnsi="Times New Roman" w:eastAsia="黑体" w:cs="Times New Roman"/>
          <w:szCs w:val="21"/>
          <w:highlight w:val="none"/>
        </w:rPr>
        <w:t>1</w:t>
      </w:r>
      <w:r>
        <w:rPr>
          <w:rFonts w:hint="eastAsia" w:ascii="Times New Roman" w:hAnsi="Times New Roman" w:eastAsia="黑体" w:cs="Times New Roman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Cs w:val="21"/>
          <w:highlight w:val="none"/>
        </w:rPr>
        <w:t>档案记录</w:t>
      </w:r>
    </w:p>
    <w:p w14:paraId="18DD26A8">
      <w:pPr>
        <w:spacing w:line="360" w:lineRule="auto"/>
        <w:ind w:firstLine="420" w:firstLineChars="200"/>
        <w:rPr>
          <w:rFonts w:ascii="Times New Roman" w:hAnsi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建立完善的农事活动、生产技术档案，记载生产过程中如农药、肥料的使用情况及其它栽培管理措施，生产加工管理措施等。</w:t>
      </w:r>
      <w:r>
        <w:rPr>
          <w:rFonts w:hint="default" w:ascii="Times New Roman" w:hAnsi="Times New Roman"/>
          <w:szCs w:val="21"/>
          <w:highlight w:val="none"/>
        </w:rPr>
        <w:t>建立可追溯体系，生产、加工、</w:t>
      </w:r>
      <w:r>
        <w:rPr>
          <w:rFonts w:hint="default" w:ascii="Times New Roman" w:hAnsi="Times New Roman"/>
          <w:szCs w:val="21"/>
          <w:highlight w:val="none"/>
          <w:lang w:eastAsia="zh-CN"/>
        </w:rPr>
        <w:t>储</w:t>
      </w:r>
      <w:r>
        <w:rPr>
          <w:rFonts w:hint="default" w:ascii="Times New Roman" w:hAnsi="Times New Roman"/>
          <w:szCs w:val="21"/>
          <w:highlight w:val="none"/>
        </w:rPr>
        <w:t>藏、销售等环节，有连续的、可跟踪的生产批号系统，根据批号系统能查询到完整的档案记录。</w:t>
      </w:r>
      <w:r>
        <w:rPr>
          <w:rFonts w:hint="default" w:ascii="Times New Roman" w:hAnsi="Times New Roman" w:cs="Times New Roman"/>
          <w:szCs w:val="21"/>
          <w:highlight w:val="none"/>
        </w:rPr>
        <w:t>生产技术档案应保存3年以上。</w:t>
      </w:r>
    </w:p>
    <w:p w14:paraId="1DB05867">
      <w:pPr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br w:type="page"/>
      </w:r>
    </w:p>
    <w:p w14:paraId="6B410773">
      <w:pPr>
        <w:spacing w:line="360" w:lineRule="auto"/>
        <w:ind w:firstLine="0" w:firstLineChars="0"/>
        <w:jc w:val="center"/>
        <w:rPr>
          <w:rFonts w:hint="default" w:ascii="Times New Roman" w:hAnsi="Times New Roman" w:eastAsia="黑体" w:cs="Times New Roman"/>
          <w:szCs w:val="21"/>
          <w:highlight w:val="none"/>
        </w:rPr>
      </w:pPr>
      <w:bookmarkStart w:id="4" w:name="_GoBack"/>
      <w:bookmarkEnd w:id="4"/>
      <w:r>
        <w:rPr>
          <w:rFonts w:hint="default" w:ascii="Times New Roman" w:hAnsi="Times New Roman" w:eastAsia="黑体" w:cs="Times New Roman"/>
          <w:szCs w:val="21"/>
          <w:highlight w:val="none"/>
        </w:rPr>
        <w:t>附录A</w:t>
      </w:r>
    </w:p>
    <w:p w14:paraId="2D3A405C">
      <w:pPr>
        <w:ind w:firstLine="0" w:firstLineChars="0"/>
        <w:jc w:val="center"/>
        <w:rPr>
          <w:rFonts w:hint="default" w:ascii="Times New Roman" w:hAnsi="Times New Roman" w:eastAsia="黑体" w:cs="Times New Roman"/>
          <w:szCs w:val="21"/>
          <w:highlight w:val="none"/>
        </w:rPr>
      </w:pPr>
      <w:r>
        <w:rPr>
          <w:rFonts w:hint="default" w:ascii="Times New Roman" w:hAnsi="Times New Roman" w:eastAsia="黑体" w:cs="Times New Roman"/>
          <w:szCs w:val="21"/>
          <w:highlight w:val="none"/>
        </w:rPr>
        <w:t>（资料性附录）</w:t>
      </w:r>
    </w:p>
    <w:p w14:paraId="6ED7956D">
      <w:pPr>
        <w:spacing w:line="360" w:lineRule="auto"/>
        <w:rPr>
          <w:rFonts w:hint="default" w:ascii="Times New Roman" w:hAnsi="Times New Roman" w:eastAsia="黑体"/>
          <w:szCs w:val="21"/>
          <w:highlight w:val="none"/>
        </w:rPr>
      </w:pPr>
      <w:r>
        <w:rPr>
          <w:rFonts w:hint="default" w:ascii="Times New Roman" w:hAnsi="Times New Roman" w:eastAsia="黑体"/>
          <w:szCs w:val="21"/>
          <w:highlight w:val="none"/>
        </w:rPr>
        <w:t xml:space="preserve">                    云南地区 绿色食品普洱茶生产主要病虫草害化学防治方案</w:t>
      </w:r>
    </w:p>
    <w:tbl>
      <w:tblPr>
        <w:tblStyle w:val="10"/>
        <w:tblW w:w="4711" w:type="pct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527"/>
        <w:gridCol w:w="2049"/>
        <w:gridCol w:w="1381"/>
        <w:gridCol w:w="877"/>
        <w:gridCol w:w="1129"/>
      </w:tblGrid>
      <w:tr w14:paraId="561A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pct"/>
            <w:noWrap w:val="0"/>
            <w:vAlign w:val="center"/>
          </w:tcPr>
          <w:p w14:paraId="6D6229BF">
            <w:pPr>
              <w:spacing w:line="52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防治对象</w:t>
            </w:r>
          </w:p>
        </w:tc>
        <w:tc>
          <w:tcPr>
            <w:tcW w:w="951" w:type="pct"/>
            <w:noWrap w:val="0"/>
            <w:vAlign w:val="center"/>
          </w:tcPr>
          <w:p w14:paraId="069D6D70">
            <w:pPr>
              <w:spacing w:line="34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防治适期</w:t>
            </w:r>
          </w:p>
          <w:p w14:paraId="6E24C02C">
            <w:pPr>
              <w:spacing w:line="34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（防治指标）</w:t>
            </w:r>
          </w:p>
        </w:tc>
        <w:tc>
          <w:tcPr>
            <w:tcW w:w="1276" w:type="pct"/>
            <w:noWrap w:val="0"/>
            <w:vAlign w:val="center"/>
          </w:tcPr>
          <w:p w14:paraId="6C329A60">
            <w:pPr>
              <w:spacing w:line="52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农药名称</w:t>
            </w:r>
          </w:p>
        </w:tc>
        <w:tc>
          <w:tcPr>
            <w:tcW w:w="860" w:type="pct"/>
            <w:noWrap w:val="0"/>
            <w:vAlign w:val="center"/>
          </w:tcPr>
          <w:p w14:paraId="440623E6">
            <w:pPr>
              <w:spacing w:line="34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使用剂量</w:t>
            </w:r>
          </w:p>
          <w:p w14:paraId="4DC1F21E">
            <w:pPr>
              <w:spacing w:line="34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ml（g）/亩</w:t>
            </w:r>
          </w:p>
        </w:tc>
        <w:tc>
          <w:tcPr>
            <w:tcW w:w="546" w:type="pct"/>
            <w:noWrap w:val="0"/>
            <w:vAlign w:val="center"/>
          </w:tcPr>
          <w:p w14:paraId="58E1DDAA">
            <w:pPr>
              <w:spacing w:line="34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施药方法</w:t>
            </w:r>
          </w:p>
        </w:tc>
        <w:tc>
          <w:tcPr>
            <w:tcW w:w="703" w:type="pct"/>
            <w:noWrap w:val="0"/>
            <w:vAlign w:val="center"/>
          </w:tcPr>
          <w:p w14:paraId="2ABFAAD9">
            <w:pPr>
              <w:spacing w:line="34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安全间隔期</w:t>
            </w:r>
          </w:p>
          <w:p w14:paraId="27E29440">
            <w:pPr>
              <w:spacing w:line="34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天数</w:t>
            </w:r>
          </w:p>
        </w:tc>
      </w:tr>
      <w:tr w14:paraId="361A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64" w:type="pct"/>
            <w:noWrap w:val="0"/>
            <w:vAlign w:val="center"/>
          </w:tcPr>
          <w:p w14:paraId="68E16FA8">
            <w:pPr>
              <w:spacing w:line="52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茶饼病</w:t>
            </w:r>
          </w:p>
        </w:tc>
        <w:tc>
          <w:tcPr>
            <w:tcW w:w="951" w:type="pct"/>
            <w:noWrap w:val="0"/>
            <w:vAlign w:val="center"/>
          </w:tcPr>
          <w:p w14:paraId="2CEAEF9B">
            <w:pPr>
              <w:spacing w:line="32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芽梢罹病率35%</w:t>
            </w:r>
          </w:p>
        </w:tc>
        <w:tc>
          <w:tcPr>
            <w:tcW w:w="1276" w:type="pct"/>
            <w:noWrap w:val="0"/>
            <w:vAlign w:val="center"/>
          </w:tcPr>
          <w:p w14:paraId="7531A605">
            <w:pPr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%</w:t>
            </w: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多抗霉素可湿性粉剂</w:t>
            </w:r>
          </w:p>
        </w:tc>
        <w:tc>
          <w:tcPr>
            <w:tcW w:w="860" w:type="pct"/>
            <w:noWrap w:val="0"/>
            <w:vAlign w:val="center"/>
          </w:tcPr>
          <w:p w14:paraId="0DDBE250">
            <w:pPr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300倍液</w:t>
            </w:r>
          </w:p>
        </w:tc>
        <w:tc>
          <w:tcPr>
            <w:tcW w:w="546" w:type="pct"/>
            <w:noWrap w:val="0"/>
            <w:vAlign w:val="center"/>
          </w:tcPr>
          <w:p w14:paraId="7EB2E61D">
            <w:pPr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喷雾</w:t>
            </w:r>
          </w:p>
        </w:tc>
        <w:tc>
          <w:tcPr>
            <w:tcW w:w="703" w:type="pct"/>
            <w:noWrap w:val="0"/>
            <w:vAlign w:val="center"/>
          </w:tcPr>
          <w:p w14:paraId="16C0DB7E">
            <w:pPr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未规定</w:t>
            </w:r>
          </w:p>
        </w:tc>
      </w:tr>
      <w:tr w14:paraId="7EBF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64" w:type="pct"/>
            <w:noWrap w:val="0"/>
            <w:vAlign w:val="center"/>
          </w:tcPr>
          <w:p w14:paraId="51B026A2">
            <w:pPr>
              <w:spacing w:line="52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炭疽病</w:t>
            </w:r>
          </w:p>
        </w:tc>
        <w:tc>
          <w:tcPr>
            <w:tcW w:w="951" w:type="pct"/>
            <w:noWrap w:val="0"/>
            <w:vAlign w:val="center"/>
          </w:tcPr>
          <w:p w14:paraId="1717835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成、老叶发病率10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～</w:t>
            </w: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15%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，4～9月</w:t>
            </w:r>
          </w:p>
        </w:tc>
        <w:tc>
          <w:tcPr>
            <w:tcW w:w="1276" w:type="pct"/>
            <w:noWrap w:val="0"/>
            <w:vAlign w:val="center"/>
          </w:tcPr>
          <w:p w14:paraId="2449EEE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80%代森锌</w:t>
            </w:r>
          </w:p>
          <w:p w14:paraId="4B29D73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可湿性粉剂</w:t>
            </w:r>
          </w:p>
        </w:tc>
        <w:tc>
          <w:tcPr>
            <w:tcW w:w="860" w:type="pct"/>
            <w:noWrap w:val="0"/>
            <w:vAlign w:val="center"/>
          </w:tcPr>
          <w:p w14:paraId="575CD9F1">
            <w:pPr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500～700倍液</w:t>
            </w:r>
          </w:p>
        </w:tc>
        <w:tc>
          <w:tcPr>
            <w:tcW w:w="546" w:type="pct"/>
            <w:noWrap w:val="0"/>
            <w:vAlign w:val="center"/>
          </w:tcPr>
          <w:p w14:paraId="14BD7431">
            <w:pPr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喷雾</w:t>
            </w:r>
          </w:p>
        </w:tc>
        <w:tc>
          <w:tcPr>
            <w:tcW w:w="703" w:type="pct"/>
            <w:noWrap w:val="0"/>
            <w:vAlign w:val="center"/>
          </w:tcPr>
          <w:p w14:paraId="7CE334F9">
            <w:pPr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未规定</w:t>
            </w:r>
          </w:p>
        </w:tc>
      </w:tr>
      <w:tr w14:paraId="6567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" w:type="pct"/>
            <w:noWrap w:val="0"/>
            <w:vAlign w:val="center"/>
          </w:tcPr>
          <w:p w14:paraId="56BB529B">
            <w:pPr>
              <w:spacing w:line="52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小绿叶蝉</w:t>
            </w:r>
          </w:p>
        </w:tc>
        <w:tc>
          <w:tcPr>
            <w:tcW w:w="951" w:type="pct"/>
            <w:noWrap w:val="0"/>
            <w:vAlign w:val="center"/>
          </w:tcPr>
          <w:p w14:paraId="710123B4">
            <w:pPr>
              <w:spacing w:line="24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百叶虫口数，夏茶5</w:t>
            </w:r>
            <w:r>
              <w:rPr>
                <w:rFonts w:hint="default" w:ascii="Times New Roman" w:hAnsi="Times New Roman" w:eastAsia="MS Mincho" w:cs="Times New Roman"/>
                <w:b/>
                <w:sz w:val="18"/>
                <w:szCs w:val="18"/>
                <w:highlight w:val="none"/>
              </w:rPr>
              <w:t>～</w:t>
            </w: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6头，秋茶12头</w:t>
            </w:r>
          </w:p>
        </w:tc>
        <w:tc>
          <w:tcPr>
            <w:tcW w:w="1276" w:type="pct"/>
            <w:noWrap w:val="0"/>
            <w:vAlign w:val="center"/>
          </w:tcPr>
          <w:p w14:paraId="279A6B33">
            <w:pPr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25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%</w:t>
            </w: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噻虫嗪悬浮剂</w:t>
            </w:r>
          </w:p>
        </w:tc>
        <w:tc>
          <w:tcPr>
            <w:tcW w:w="860" w:type="pct"/>
            <w:noWrap w:val="0"/>
            <w:vAlign w:val="center"/>
          </w:tcPr>
          <w:p w14:paraId="72010231">
            <w:pPr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4～6ml</w:t>
            </w:r>
          </w:p>
        </w:tc>
        <w:tc>
          <w:tcPr>
            <w:tcW w:w="546" w:type="pct"/>
            <w:noWrap w:val="0"/>
            <w:vAlign w:val="center"/>
          </w:tcPr>
          <w:p w14:paraId="220156B0">
            <w:pPr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喷雾</w:t>
            </w:r>
          </w:p>
        </w:tc>
        <w:tc>
          <w:tcPr>
            <w:tcW w:w="703" w:type="pct"/>
            <w:noWrap w:val="0"/>
            <w:vAlign w:val="center"/>
          </w:tcPr>
          <w:p w14:paraId="39CCDA5E">
            <w:pPr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3</w:t>
            </w:r>
          </w:p>
        </w:tc>
      </w:tr>
      <w:tr w14:paraId="7025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4" w:type="pct"/>
            <w:vMerge w:val="restart"/>
            <w:noWrap w:val="0"/>
            <w:vAlign w:val="center"/>
          </w:tcPr>
          <w:p w14:paraId="2A6F5036">
            <w:pPr>
              <w:spacing w:line="52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茶尺蠖</w:t>
            </w:r>
          </w:p>
        </w:tc>
        <w:tc>
          <w:tcPr>
            <w:tcW w:w="951" w:type="pct"/>
            <w:vMerge w:val="restart"/>
            <w:noWrap w:val="0"/>
            <w:vAlign w:val="center"/>
          </w:tcPr>
          <w:p w14:paraId="0FB75632">
            <w:pPr>
              <w:spacing w:line="26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成龄采摘茶园虫口密度每亩4500头或每米长茶行10头</w:t>
            </w:r>
          </w:p>
        </w:tc>
        <w:tc>
          <w:tcPr>
            <w:tcW w:w="1276" w:type="pct"/>
            <w:noWrap w:val="0"/>
            <w:vAlign w:val="center"/>
          </w:tcPr>
          <w:p w14:paraId="78E5AA67">
            <w:pPr>
              <w:spacing w:line="28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4.5%高效氯氰菊酯乳油</w:t>
            </w:r>
          </w:p>
        </w:tc>
        <w:tc>
          <w:tcPr>
            <w:tcW w:w="860" w:type="pct"/>
            <w:noWrap w:val="0"/>
            <w:vAlign w:val="center"/>
          </w:tcPr>
          <w:p w14:paraId="2E5DC8D8">
            <w:pPr>
              <w:spacing w:line="52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22</w:t>
            </w:r>
            <w:r>
              <w:rPr>
                <w:rFonts w:hint="default" w:ascii="Times New Roman" w:hAnsi="Times New Roman" w:eastAsia="MS Mincho" w:cs="Times New Roman"/>
                <w:b/>
                <w:sz w:val="18"/>
                <w:szCs w:val="18"/>
                <w:highlight w:val="none"/>
              </w:rPr>
              <w:t>～</w:t>
            </w: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40g</w:t>
            </w:r>
          </w:p>
        </w:tc>
        <w:tc>
          <w:tcPr>
            <w:tcW w:w="546" w:type="pct"/>
            <w:noWrap w:val="0"/>
            <w:vAlign w:val="center"/>
          </w:tcPr>
          <w:p w14:paraId="07F0E12C">
            <w:pPr>
              <w:spacing w:line="240" w:lineRule="atLeas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喷雾</w:t>
            </w:r>
          </w:p>
        </w:tc>
        <w:tc>
          <w:tcPr>
            <w:tcW w:w="703" w:type="pct"/>
            <w:noWrap w:val="0"/>
            <w:vAlign w:val="center"/>
          </w:tcPr>
          <w:p w14:paraId="5A076579">
            <w:pPr>
              <w:spacing w:line="52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10</w:t>
            </w:r>
          </w:p>
        </w:tc>
      </w:tr>
      <w:tr w14:paraId="4EF1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4" w:type="pct"/>
            <w:vMerge w:val="continue"/>
            <w:noWrap w:val="0"/>
            <w:vAlign w:val="center"/>
          </w:tcPr>
          <w:p w14:paraId="586109D6">
            <w:pPr>
              <w:spacing w:line="52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951" w:type="pct"/>
            <w:vMerge w:val="continue"/>
            <w:noWrap w:val="0"/>
            <w:vAlign w:val="center"/>
          </w:tcPr>
          <w:p w14:paraId="310B40C7">
            <w:pPr>
              <w:spacing w:line="26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1276" w:type="pct"/>
            <w:noWrap w:val="0"/>
            <w:vAlign w:val="center"/>
          </w:tcPr>
          <w:p w14:paraId="06802DC4">
            <w:pPr>
              <w:spacing w:line="28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0.5%苦参碱水剂</w:t>
            </w:r>
          </w:p>
        </w:tc>
        <w:tc>
          <w:tcPr>
            <w:tcW w:w="860" w:type="pct"/>
            <w:noWrap w:val="0"/>
            <w:vAlign w:val="center"/>
          </w:tcPr>
          <w:p w14:paraId="3D4B32AB">
            <w:pPr>
              <w:spacing w:line="52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75</w:t>
            </w:r>
            <w:r>
              <w:rPr>
                <w:rFonts w:hint="default" w:ascii="Times New Roman" w:hAnsi="Times New Roman" w:eastAsia="MS Mincho" w:cs="Times New Roman"/>
                <w:b/>
                <w:sz w:val="18"/>
                <w:szCs w:val="18"/>
                <w:highlight w:val="none"/>
              </w:rPr>
              <w:t>～</w:t>
            </w: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90g</w:t>
            </w:r>
          </w:p>
        </w:tc>
        <w:tc>
          <w:tcPr>
            <w:tcW w:w="546" w:type="pct"/>
            <w:noWrap w:val="0"/>
            <w:vAlign w:val="center"/>
          </w:tcPr>
          <w:p w14:paraId="478A7199">
            <w:pPr>
              <w:spacing w:line="240" w:lineRule="atLeas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喷雾</w:t>
            </w:r>
          </w:p>
        </w:tc>
        <w:tc>
          <w:tcPr>
            <w:tcW w:w="703" w:type="pct"/>
            <w:noWrap w:val="0"/>
            <w:vAlign w:val="center"/>
          </w:tcPr>
          <w:p w14:paraId="19233B90">
            <w:pPr>
              <w:spacing w:line="52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14</w:t>
            </w:r>
          </w:p>
        </w:tc>
      </w:tr>
      <w:tr w14:paraId="4D47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4" w:type="pct"/>
            <w:noWrap w:val="0"/>
            <w:vAlign w:val="center"/>
          </w:tcPr>
          <w:p w14:paraId="661E1E07">
            <w:pPr>
              <w:spacing w:line="52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茶毛虫</w:t>
            </w:r>
          </w:p>
        </w:tc>
        <w:tc>
          <w:tcPr>
            <w:tcW w:w="951" w:type="pct"/>
            <w:noWrap w:val="0"/>
            <w:vAlign w:val="center"/>
          </w:tcPr>
          <w:p w14:paraId="1E217BB4">
            <w:pPr>
              <w:spacing w:line="26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</w:rPr>
              <w:t>百丛虫卵块5个以上</w:t>
            </w:r>
          </w:p>
        </w:tc>
        <w:tc>
          <w:tcPr>
            <w:tcW w:w="1276" w:type="pct"/>
            <w:noWrap w:val="0"/>
            <w:vAlign w:val="center"/>
          </w:tcPr>
          <w:p w14:paraId="1179C8D7">
            <w:pPr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苏云金杆菌（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Bt</w:t>
            </w: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）可湿性粉剂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（1600</w:t>
            </w: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0IU/mg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860" w:type="pct"/>
            <w:noWrap w:val="0"/>
            <w:vAlign w:val="center"/>
          </w:tcPr>
          <w:p w14:paraId="7977F86C">
            <w:pPr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800～1600倍液</w:t>
            </w:r>
          </w:p>
        </w:tc>
        <w:tc>
          <w:tcPr>
            <w:tcW w:w="546" w:type="pct"/>
            <w:noWrap w:val="0"/>
            <w:vAlign w:val="center"/>
          </w:tcPr>
          <w:p w14:paraId="2AAEF92C">
            <w:pPr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喷雾</w:t>
            </w:r>
          </w:p>
        </w:tc>
        <w:tc>
          <w:tcPr>
            <w:tcW w:w="703" w:type="pct"/>
            <w:noWrap w:val="0"/>
            <w:vAlign w:val="center"/>
          </w:tcPr>
          <w:p w14:paraId="06EA0BB9">
            <w:pPr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未规定</w:t>
            </w:r>
          </w:p>
        </w:tc>
      </w:tr>
      <w:tr w14:paraId="0D57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4" w:type="pct"/>
            <w:vMerge w:val="restart"/>
            <w:noWrap w:val="0"/>
            <w:vAlign w:val="center"/>
          </w:tcPr>
          <w:p w14:paraId="0ECC42AB">
            <w:pPr>
              <w:spacing w:line="52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茶橙瘿螨</w:t>
            </w:r>
          </w:p>
        </w:tc>
        <w:tc>
          <w:tcPr>
            <w:tcW w:w="951" w:type="pct"/>
            <w:vMerge w:val="restart"/>
            <w:noWrap w:val="0"/>
            <w:vAlign w:val="center"/>
          </w:tcPr>
          <w:p w14:paraId="1DA97F3E">
            <w:pPr>
              <w:spacing w:line="26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百叶虫口＞10头</w:t>
            </w:r>
          </w:p>
        </w:tc>
        <w:tc>
          <w:tcPr>
            <w:tcW w:w="1276" w:type="pct"/>
            <w:noWrap w:val="0"/>
            <w:vAlign w:val="center"/>
          </w:tcPr>
          <w:p w14:paraId="2863A31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0.5%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highlight w:val="none"/>
                <w:shd w:val="clear" w:fill="FFFFFF"/>
                <w:lang w:val="en-US" w:eastAsia="zh-CN" w:bidi="ar"/>
              </w:rPr>
              <w:t>藜芦根茎提取物</w:t>
            </w:r>
          </w:p>
        </w:tc>
        <w:tc>
          <w:tcPr>
            <w:tcW w:w="860" w:type="pct"/>
            <w:noWrap w:val="0"/>
            <w:vAlign w:val="center"/>
          </w:tcPr>
          <w:p w14:paraId="765634CB">
            <w:pPr>
              <w:spacing w:line="52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600～800倍液</w:t>
            </w:r>
          </w:p>
        </w:tc>
        <w:tc>
          <w:tcPr>
            <w:tcW w:w="546" w:type="pct"/>
            <w:noWrap w:val="0"/>
            <w:vAlign w:val="center"/>
          </w:tcPr>
          <w:p w14:paraId="6E55C306">
            <w:pPr>
              <w:spacing w:line="240" w:lineRule="atLeas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喷雾</w:t>
            </w:r>
          </w:p>
        </w:tc>
        <w:tc>
          <w:tcPr>
            <w:tcW w:w="703" w:type="pct"/>
            <w:noWrap w:val="0"/>
            <w:vAlign w:val="center"/>
          </w:tcPr>
          <w:p w14:paraId="79591E70">
            <w:pPr>
              <w:spacing w:line="52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10</w:t>
            </w:r>
          </w:p>
        </w:tc>
      </w:tr>
      <w:tr w14:paraId="2C36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4" w:type="pct"/>
            <w:vMerge w:val="continue"/>
            <w:noWrap w:val="0"/>
            <w:vAlign w:val="center"/>
          </w:tcPr>
          <w:p w14:paraId="7440C27A">
            <w:pPr>
              <w:spacing w:line="52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951" w:type="pct"/>
            <w:vMerge w:val="continue"/>
            <w:noWrap w:val="0"/>
            <w:vAlign w:val="center"/>
          </w:tcPr>
          <w:p w14:paraId="43947D57">
            <w:pPr>
              <w:spacing w:line="26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</w:p>
        </w:tc>
        <w:tc>
          <w:tcPr>
            <w:tcW w:w="1276" w:type="pct"/>
            <w:noWrap w:val="0"/>
            <w:vAlign w:val="center"/>
          </w:tcPr>
          <w:p w14:paraId="4BEDE0AE">
            <w:pPr>
              <w:spacing w:line="52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99%矿物油乳油</w:t>
            </w:r>
          </w:p>
        </w:tc>
        <w:tc>
          <w:tcPr>
            <w:tcW w:w="860" w:type="pct"/>
            <w:noWrap w:val="0"/>
            <w:vAlign w:val="center"/>
          </w:tcPr>
          <w:p w14:paraId="065CACB6">
            <w:pPr>
              <w:spacing w:line="52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300</w:t>
            </w:r>
            <w:r>
              <w:rPr>
                <w:rFonts w:hint="default" w:ascii="Times New Roman" w:hAnsi="Times New Roman" w:eastAsia="MS Mincho" w:cs="Times New Roman"/>
                <w:b/>
                <w:sz w:val="18"/>
                <w:szCs w:val="18"/>
                <w:highlight w:val="none"/>
              </w:rPr>
              <w:t>～</w:t>
            </w: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500</w:t>
            </w:r>
            <w:r>
              <w:rPr>
                <w:rFonts w:hint="default" w:ascii="Times New Roman" w:hAnsi="Times New Roman" w:cs="Times New Roman"/>
                <w:color w:val="000000"/>
                <w:kern w:val="36"/>
                <w:sz w:val="18"/>
                <w:szCs w:val="18"/>
                <w:highlight w:val="none"/>
              </w:rPr>
              <w:t xml:space="preserve"> ml</w:t>
            </w:r>
          </w:p>
        </w:tc>
        <w:tc>
          <w:tcPr>
            <w:tcW w:w="546" w:type="pct"/>
            <w:noWrap w:val="0"/>
            <w:vAlign w:val="center"/>
          </w:tcPr>
          <w:p w14:paraId="348FC445">
            <w:pPr>
              <w:spacing w:line="240" w:lineRule="atLeas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喷雾</w:t>
            </w:r>
          </w:p>
        </w:tc>
        <w:tc>
          <w:tcPr>
            <w:tcW w:w="703" w:type="pct"/>
            <w:noWrap w:val="0"/>
            <w:vAlign w:val="center"/>
          </w:tcPr>
          <w:p w14:paraId="61DC6E09">
            <w:pPr>
              <w:spacing w:line="52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10</w:t>
            </w:r>
          </w:p>
        </w:tc>
      </w:tr>
      <w:tr w14:paraId="37B2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64" w:type="pct"/>
            <w:noWrap w:val="0"/>
            <w:vAlign w:val="center"/>
          </w:tcPr>
          <w:p w14:paraId="4B0924EC">
            <w:pPr>
              <w:spacing w:line="52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杂草</w:t>
            </w:r>
          </w:p>
        </w:tc>
        <w:tc>
          <w:tcPr>
            <w:tcW w:w="951" w:type="pct"/>
            <w:noWrap w:val="0"/>
            <w:vAlign w:val="center"/>
          </w:tcPr>
          <w:p w14:paraId="12C5BF7B">
            <w:pPr>
              <w:spacing w:line="520" w:lineRule="exact"/>
              <w:jc w:val="center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根据杂草长势</w:t>
            </w:r>
          </w:p>
        </w:tc>
        <w:tc>
          <w:tcPr>
            <w:tcW w:w="1276" w:type="pct"/>
            <w:noWrap w:val="0"/>
            <w:vAlign w:val="center"/>
          </w:tcPr>
          <w:p w14:paraId="4D1182BB">
            <w:pPr>
              <w:widowControl/>
              <w:spacing w:line="200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36"/>
                <w:sz w:val="18"/>
                <w:szCs w:val="18"/>
                <w:highlight w:val="none"/>
              </w:rPr>
              <w:t>18%草铵膦可溶液剂</w:t>
            </w:r>
          </w:p>
        </w:tc>
        <w:tc>
          <w:tcPr>
            <w:tcW w:w="860" w:type="pct"/>
            <w:noWrap w:val="0"/>
            <w:vAlign w:val="center"/>
          </w:tcPr>
          <w:p w14:paraId="156F5714">
            <w:pPr>
              <w:widowControl/>
              <w:spacing w:line="200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36"/>
                <w:sz w:val="18"/>
                <w:szCs w:val="18"/>
                <w:highlight w:val="none"/>
              </w:rPr>
              <w:t>200</w:t>
            </w:r>
            <w:r>
              <w:rPr>
                <w:rFonts w:hint="default" w:ascii="Times New Roman" w:hAnsi="Times New Roman" w:eastAsia="MS Mincho" w:cs="Times New Roman"/>
                <w:b/>
                <w:color w:val="000000"/>
                <w:kern w:val="36"/>
                <w:sz w:val="18"/>
                <w:szCs w:val="18"/>
                <w:highlight w:val="none"/>
              </w:rPr>
              <w:t>～</w:t>
            </w:r>
            <w:r>
              <w:rPr>
                <w:rFonts w:hint="default" w:ascii="Times New Roman" w:hAnsi="Times New Roman" w:cs="Times New Roman"/>
                <w:color w:val="000000"/>
                <w:kern w:val="36"/>
                <w:sz w:val="18"/>
                <w:szCs w:val="18"/>
                <w:highlight w:val="none"/>
              </w:rPr>
              <w:t>300ml</w:t>
            </w:r>
          </w:p>
        </w:tc>
        <w:tc>
          <w:tcPr>
            <w:tcW w:w="546" w:type="pct"/>
            <w:noWrap w:val="0"/>
            <w:vAlign w:val="center"/>
          </w:tcPr>
          <w:p w14:paraId="0F876BCD">
            <w:pPr>
              <w:widowControl/>
              <w:spacing w:line="200" w:lineRule="exact"/>
              <w:jc w:val="center"/>
              <w:outlineLvl w:val="0"/>
              <w:rPr>
                <w:rFonts w:hint="default" w:ascii="Times New Roman" w:hAnsi="Times New Roman" w:cs="Times New Roman"/>
                <w:color w:val="000000"/>
                <w:kern w:val="36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36"/>
                <w:sz w:val="18"/>
                <w:szCs w:val="18"/>
                <w:highlight w:val="none"/>
              </w:rPr>
              <w:t>定向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  <w:highlight w:val="none"/>
              </w:rPr>
              <w:t>茎叶喷雾</w:t>
            </w:r>
          </w:p>
        </w:tc>
        <w:tc>
          <w:tcPr>
            <w:tcW w:w="703" w:type="pct"/>
            <w:noWrap w:val="0"/>
            <w:vAlign w:val="center"/>
          </w:tcPr>
          <w:p w14:paraId="46658558">
            <w:pPr>
              <w:widowControl/>
              <w:spacing w:line="200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36"/>
                <w:sz w:val="18"/>
                <w:szCs w:val="18"/>
                <w:highlight w:val="none"/>
              </w:rPr>
              <w:t>未规定</w:t>
            </w:r>
          </w:p>
        </w:tc>
      </w:tr>
      <w:tr w14:paraId="0A26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000" w:type="pct"/>
            <w:gridSpan w:val="6"/>
            <w:noWrap w:val="0"/>
            <w:vAlign w:val="center"/>
          </w:tcPr>
          <w:p w14:paraId="5C2086AC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黑体"/>
                <w:sz w:val="18"/>
                <w:szCs w:val="18"/>
                <w:highlight w:val="none"/>
              </w:rPr>
              <w:t>注</w:t>
            </w:r>
            <w:r>
              <w:rPr>
                <w:rFonts w:hint="default" w:ascii="Times New Roman" w:hAnsi="Times New Roman" w:eastAsia="黑体"/>
                <w:sz w:val="18"/>
                <w:szCs w:val="18"/>
                <w:highlight w:val="none"/>
              </w:rPr>
              <w:t>：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农药使用以最新版本</w:t>
            </w: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NY/T 393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>为准</w:t>
            </w:r>
            <w:r>
              <w:rPr>
                <w:rFonts w:hint="default" w:ascii="Times New Roman" w:hAnsi="Times New Roman"/>
                <w:sz w:val="18"/>
                <w:szCs w:val="18"/>
                <w:highlight w:val="none"/>
              </w:rPr>
              <w:t>。</w:t>
            </w:r>
          </w:p>
        </w:tc>
      </w:tr>
    </w:tbl>
    <w:p w14:paraId="6F8EECAA">
      <w:pPr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/>
          <w:szCs w:val="21"/>
          <w:highlight w:val="none"/>
        </w:rPr>
      </w:pPr>
    </w:p>
    <w:p w14:paraId="7B762DEB">
      <w:pPr>
        <w:spacing w:line="360" w:lineRule="auto"/>
        <w:ind w:firstLine="3885" w:firstLineChars="1850"/>
        <w:rPr>
          <w:rFonts w:hint="default" w:ascii="Times New Roman" w:hAnsi="Times New Roman" w:cs="Times New Roman"/>
          <w:szCs w:val="21"/>
          <w:highlight w:val="none"/>
        </w:rPr>
      </w:pPr>
    </w:p>
    <w:p w14:paraId="004D4FF1">
      <w:pPr>
        <w:rPr>
          <w:rFonts w:ascii="Times New Roman" w:hAnsi="Times New Roman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decimal"/>
      <w:suff w:val="nothing"/>
      <w:lvlText w:val="%1　"/>
      <w:lvlJc w:val="left"/>
      <w:pPr>
        <w:ind w:left="284" w:firstLine="0"/>
      </w:pPr>
      <w:rPr>
        <w:rFonts w:hint="default" w:ascii="Times New Roman" w:hAnsi="Times New Roman" w:eastAsia="黑体" w:cs="Times New Roman"/>
        <w:b w:val="0"/>
        <w:i w:val="0"/>
        <w:sz w:val="21"/>
        <w:szCs w:val="21"/>
      </w:rPr>
    </w:lvl>
    <w:lvl w:ilvl="1" w:tentative="0">
      <w:start w:val="1"/>
      <w:numFmt w:val="decimal"/>
      <w:pStyle w:val="41"/>
      <w:suff w:val="nothing"/>
      <w:lvlText w:val="%1.%2　"/>
      <w:lvlJc w:val="left"/>
      <w:pPr>
        <w:ind w:left="154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40"/>
      <w:suff w:val="nothing"/>
      <w:lvlText w:val="%1.%2.%3　"/>
      <w:lvlJc w:val="left"/>
      <w:pPr>
        <w:ind w:left="464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284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284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284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284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635"/>
        </w:tabs>
        <w:ind w:left="4253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061"/>
        </w:tabs>
        <w:ind w:left="4961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YWJkMDYwZmJkZjEzMjUwZmM5ZGNmNThhYzg0ODUifQ=="/>
  </w:docVars>
  <w:rsids>
    <w:rsidRoot w:val="00367D81"/>
    <w:rsid w:val="00000AC0"/>
    <w:rsid w:val="00005D85"/>
    <w:rsid w:val="000104EB"/>
    <w:rsid w:val="00010D47"/>
    <w:rsid w:val="0002351A"/>
    <w:rsid w:val="0002380B"/>
    <w:rsid w:val="00057626"/>
    <w:rsid w:val="0006105C"/>
    <w:rsid w:val="0006558E"/>
    <w:rsid w:val="0006633E"/>
    <w:rsid w:val="000800AB"/>
    <w:rsid w:val="00081E60"/>
    <w:rsid w:val="00083BA5"/>
    <w:rsid w:val="000A3BF0"/>
    <w:rsid w:val="000A641B"/>
    <w:rsid w:val="000B2ECA"/>
    <w:rsid w:val="000C3DFB"/>
    <w:rsid w:val="000C7CFE"/>
    <w:rsid w:val="000D788B"/>
    <w:rsid w:val="000F0B2D"/>
    <w:rsid w:val="001049E5"/>
    <w:rsid w:val="001214BA"/>
    <w:rsid w:val="00131890"/>
    <w:rsid w:val="00132ED1"/>
    <w:rsid w:val="0014048A"/>
    <w:rsid w:val="0014547E"/>
    <w:rsid w:val="00157A40"/>
    <w:rsid w:val="001625D7"/>
    <w:rsid w:val="00167415"/>
    <w:rsid w:val="001720E7"/>
    <w:rsid w:val="00180E21"/>
    <w:rsid w:val="00183037"/>
    <w:rsid w:val="0018761E"/>
    <w:rsid w:val="001907C9"/>
    <w:rsid w:val="001934C7"/>
    <w:rsid w:val="00193A56"/>
    <w:rsid w:val="001A516F"/>
    <w:rsid w:val="001A5B46"/>
    <w:rsid w:val="001A670D"/>
    <w:rsid w:val="001B5147"/>
    <w:rsid w:val="001C6DA3"/>
    <w:rsid w:val="001C7D6C"/>
    <w:rsid w:val="001D5E73"/>
    <w:rsid w:val="001E12AD"/>
    <w:rsid w:val="001F03D2"/>
    <w:rsid w:val="001F04A4"/>
    <w:rsid w:val="001F0739"/>
    <w:rsid w:val="00200051"/>
    <w:rsid w:val="002020EF"/>
    <w:rsid w:val="002052B8"/>
    <w:rsid w:val="00214C71"/>
    <w:rsid w:val="00222A8A"/>
    <w:rsid w:val="0022378E"/>
    <w:rsid w:val="0023017C"/>
    <w:rsid w:val="00236CBE"/>
    <w:rsid w:val="0024089E"/>
    <w:rsid w:val="00257AF7"/>
    <w:rsid w:val="00271A2E"/>
    <w:rsid w:val="00282BA6"/>
    <w:rsid w:val="0029542D"/>
    <w:rsid w:val="0029566D"/>
    <w:rsid w:val="002B1E8D"/>
    <w:rsid w:val="002B5C62"/>
    <w:rsid w:val="002C5121"/>
    <w:rsid w:val="002D532D"/>
    <w:rsid w:val="002D7F61"/>
    <w:rsid w:val="002F2CC4"/>
    <w:rsid w:val="003000C6"/>
    <w:rsid w:val="0030254C"/>
    <w:rsid w:val="00305A72"/>
    <w:rsid w:val="00307F96"/>
    <w:rsid w:val="003141AE"/>
    <w:rsid w:val="00316EA0"/>
    <w:rsid w:val="0032008C"/>
    <w:rsid w:val="003223E1"/>
    <w:rsid w:val="00325FD2"/>
    <w:rsid w:val="0035016B"/>
    <w:rsid w:val="0035258D"/>
    <w:rsid w:val="003572C3"/>
    <w:rsid w:val="00367D81"/>
    <w:rsid w:val="003916CE"/>
    <w:rsid w:val="00393D11"/>
    <w:rsid w:val="00397263"/>
    <w:rsid w:val="003A7E27"/>
    <w:rsid w:val="003B4579"/>
    <w:rsid w:val="003B71DB"/>
    <w:rsid w:val="003E5630"/>
    <w:rsid w:val="003F5A29"/>
    <w:rsid w:val="003F6774"/>
    <w:rsid w:val="00401A82"/>
    <w:rsid w:val="00403BEC"/>
    <w:rsid w:val="004058DD"/>
    <w:rsid w:val="00406092"/>
    <w:rsid w:val="00407D36"/>
    <w:rsid w:val="004122E3"/>
    <w:rsid w:val="00412DB0"/>
    <w:rsid w:val="004173F1"/>
    <w:rsid w:val="00432D00"/>
    <w:rsid w:val="00436E6B"/>
    <w:rsid w:val="00437EC8"/>
    <w:rsid w:val="00441A96"/>
    <w:rsid w:val="0044566C"/>
    <w:rsid w:val="0045166F"/>
    <w:rsid w:val="00454821"/>
    <w:rsid w:val="00454830"/>
    <w:rsid w:val="00455D2C"/>
    <w:rsid w:val="0046037D"/>
    <w:rsid w:val="0046202E"/>
    <w:rsid w:val="00464697"/>
    <w:rsid w:val="0047096E"/>
    <w:rsid w:val="00473084"/>
    <w:rsid w:val="00491063"/>
    <w:rsid w:val="0049583F"/>
    <w:rsid w:val="004A0B87"/>
    <w:rsid w:val="004B35FC"/>
    <w:rsid w:val="004D2EF7"/>
    <w:rsid w:val="004F1B6C"/>
    <w:rsid w:val="004F23D6"/>
    <w:rsid w:val="004F76C4"/>
    <w:rsid w:val="00517577"/>
    <w:rsid w:val="00517834"/>
    <w:rsid w:val="00524FB5"/>
    <w:rsid w:val="005308F9"/>
    <w:rsid w:val="00531C33"/>
    <w:rsid w:val="0056151B"/>
    <w:rsid w:val="00561E6F"/>
    <w:rsid w:val="00564CD6"/>
    <w:rsid w:val="005660FA"/>
    <w:rsid w:val="005718A2"/>
    <w:rsid w:val="0059090A"/>
    <w:rsid w:val="00592A27"/>
    <w:rsid w:val="00596CA0"/>
    <w:rsid w:val="005B4A65"/>
    <w:rsid w:val="005B6B79"/>
    <w:rsid w:val="005B7569"/>
    <w:rsid w:val="005C46BA"/>
    <w:rsid w:val="005C6D8E"/>
    <w:rsid w:val="005D134B"/>
    <w:rsid w:val="005F4A93"/>
    <w:rsid w:val="00603D3B"/>
    <w:rsid w:val="0061200B"/>
    <w:rsid w:val="006123A5"/>
    <w:rsid w:val="006159DC"/>
    <w:rsid w:val="006228DE"/>
    <w:rsid w:val="006274A9"/>
    <w:rsid w:val="00630E82"/>
    <w:rsid w:val="006504A2"/>
    <w:rsid w:val="00667275"/>
    <w:rsid w:val="00672FAF"/>
    <w:rsid w:val="00675ADE"/>
    <w:rsid w:val="006768AC"/>
    <w:rsid w:val="00683BD5"/>
    <w:rsid w:val="006869AD"/>
    <w:rsid w:val="006A1D69"/>
    <w:rsid w:val="006A63B2"/>
    <w:rsid w:val="006C0DFE"/>
    <w:rsid w:val="006C31C0"/>
    <w:rsid w:val="006D093D"/>
    <w:rsid w:val="006D6CDE"/>
    <w:rsid w:val="006E492E"/>
    <w:rsid w:val="006F4E82"/>
    <w:rsid w:val="00701509"/>
    <w:rsid w:val="00701606"/>
    <w:rsid w:val="0070650C"/>
    <w:rsid w:val="0071261C"/>
    <w:rsid w:val="00745AAA"/>
    <w:rsid w:val="00750EE3"/>
    <w:rsid w:val="00752654"/>
    <w:rsid w:val="007553A2"/>
    <w:rsid w:val="00756D94"/>
    <w:rsid w:val="007576B9"/>
    <w:rsid w:val="00762525"/>
    <w:rsid w:val="00764A70"/>
    <w:rsid w:val="00774CD0"/>
    <w:rsid w:val="00785411"/>
    <w:rsid w:val="00790D86"/>
    <w:rsid w:val="007923AF"/>
    <w:rsid w:val="00795A7B"/>
    <w:rsid w:val="007A12B9"/>
    <w:rsid w:val="007C2150"/>
    <w:rsid w:val="007C768A"/>
    <w:rsid w:val="007D0EC4"/>
    <w:rsid w:val="007D4AFD"/>
    <w:rsid w:val="007D7D0E"/>
    <w:rsid w:val="007E038C"/>
    <w:rsid w:val="007E1F4E"/>
    <w:rsid w:val="00800A0E"/>
    <w:rsid w:val="0081175E"/>
    <w:rsid w:val="0082462A"/>
    <w:rsid w:val="008259BA"/>
    <w:rsid w:val="00831C53"/>
    <w:rsid w:val="008326C3"/>
    <w:rsid w:val="0084288F"/>
    <w:rsid w:val="008750B3"/>
    <w:rsid w:val="0087542C"/>
    <w:rsid w:val="008764F3"/>
    <w:rsid w:val="00880620"/>
    <w:rsid w:val="008947E0"/>
    <w:rsid w:val="008A580B"/>
    <w:rsid w:val="008B7693"/>
    <w:rsid w:val="008C0BF0"/>
    <w:rsid w:val="008C6EFB"/>
    <w:rsid w:val="008D461B"/>
    <w:rsid w:val="008D4DF3"/>
    <w:rsid w:val="008E21B3"/>
    <w:rsid w:val="008E3533"/>
    <w:rsid w:val="008E48CE"/>
    <w:rsid w:val="008E4DC5"/>
    <w:rsid w:val="00905AD6"/>
    <w:rsid w:val="009141E7"/>
    <w:rsid w:val="00923F9D"/>
    <w:rsid w:val="00934AA3"/>
    <w:rsid w:val="009367C9"/>
    <w:rsid w:val="009402FD"/>
    <w:rsid w:val="009561A2"/>
    <w:rsid w:val="00963488"/>
    <w:rsid w:val="0096523C"/>
    <w:rsid w:val="0096569C"/>
    <w:rsid w:val="00972966"/>
    <w:rsid w:val="009820B6"/>
    <w:rsid w:val="0098309C"/>
    <w:rsid w:val="00983F81"/>
    <w:rsid w:val="00985063"/>
    <w:rsid w:val="009A6678"/>
    <w:rsid w:val="009B501F"/>
    <w:rsid w:val="009C2EF5"/>
    <w:rsid w:val="009C40C7"/>
    <w:rsid w:val="009C537C"/>
    <w:rsid w:val="009C599C"/>
    <w:rsid w:val="009C7530"/>
    <w:rsid w:val="009E3699"/>
    <w:rsid w:val="00A00E92"/>
    <w:rsid w:val="00A07F1D"/>
    <w:rsid w:val="00A14C71"/>
    <w:rsid w:val="00A154A5"/>
    <w:rsid w:val="00A1666B"/>
    <w:rsid w:val="00A1770F"/>
    <w:rsid w:val="00A17F74"/>
    <w:rsid w:val="00A27D09"/>
    <w:rsid w:val="00A329EC"/>
    <w:rsid w:val="00A34658"/>
    <w:rsid w:val="00A408C5"/>
    <w:rsid w:val="00A42394"/>
    <w:rsid w:val="00A43012"/>
    <w:rsid w:val="00A54264"/>
    <w:rsid w:val="00A56016"/>
    <w:rsid w:val="00A56178"/>
    <w:rsid w:val="00A628CA"/>
    <w:rsid w:val="00A702F0"/>
    <w:rsid w:val="00A878AF"/>
    <w:rsid w:val="00A906B0"/>
    <w:rsid w:val="00A91B76"/>
    <w:rsid w:val="00A9297F"/>
    <w:rsid w:val="00A93F06"/>
    <w:rsid w:val="00A949FB"/>
    <w:rsid w:val="00AA15AA"/>
    <w:rsid w:val="00AB7E4F"/>
    <w:rsid w:val="00AC3B57"/>
    <w:rsid w:val="00AC5C18"/>
    <w:rsid w:val="00AD04E9"/>
    <w:rsid w:val="00AD184E"/>
    <w:rsid w:val="00AD19F7"/>
    <w:rsid w:val="00AD24FA"/>
    <w:rsid w:val="00AE22C3"/>
    <w:rsid w:val="00AF70B9"/>
    <w:rsid w:val="00B13CE7"/>
    <w:rsid w:val="00B14615"/>
    <w:rsid w:val="00B159B6"/>
    <w:rsid w:val="00B32A72"/>
    <w:rsid w:val="00B36770"/>
    <w:rsid w:val="00B36DA5"/>
    <w:rsid w:val="00B43132"/>
    <w:rsid w:val="00B469AD"/>
    <w:rsid w:val="00B53A1D"/>
    <w:rsid w:val="00B611E1"/>
    <w:rsid w:val="00B6306B"/>
    <w:rsid w:val="00B65FD9"/>
    <w:rsid w:val="00B80C2C"/>
    <w:rsid w:val="00B8613F"/>
    <w:rsid w:val="00BA0490"/>
    <w:rsid w:val="00BB1E76"/>
    <w:rsid w:val="00BC3790"/>
    <w:rsid w:val="00BC4B60"/>
    <w:rsid w:val="00BD3A0E"/>
    <w:rsid w:val="00BE16FE"/>
    <w:rsid w:val="00BE1B43"/>
    <w:rsid w:val="00BE47B2"/>
    <w:rsid w:val="00BE482C"/>
    <w:rsid w:val="00BE6132"/>
    <w:rsid w:val="00C00AF4"/>
    <w:rsid w:val="00C051F2"/>
    <w:rsid w:val="00C24A50"/>
    <w:rsid w:val="00C30FB2"/>
    <w:rsid w:val="00C34F0E"/>
    <w:rsid w:val="00C367C8"/>
    <w:rsid w:val="00C40025"/>
    <w:rsid w:val="00C57CB5"/>
    <w:rsid w:val="00C70FB1"/>
    <w:rsid w:val="00CA1164"/>
    <w:rsid w:val="00CD0B27"/>
    <w:rsid w:val="00CD6A6C"/>
    <w:rsid w:val="00CF2D3B"/>
    <w:rsid w:val="00D01AAD"/>
    <w:rsid w:val="00D12072"/>
    <w:rsid w:val="00D152DC"/>
    <w:rsid w:val="00D153F5"/>
    <w:rsid w:val="00D211B5"/>
    <w:rsid w:val="00D31C4F"/>
    <w:rsid w:val="00D37DE9"/>
    <w:rsid w:val="00D52867"/>
    <w:rsid w:val="00D605CA"/>
    <w:rsid w:val="00D72504"/>
    <w:rsid w:val="00D76A53"/>
    <w:rsid w:val="00D80221"/>
    <w:rsid w:val="00D81483"/>
    <w:rsid w:val="00D867A7"/>
    <w:rsid w:val="00D94523"/>
    <w:rsid w:val="00DA5DBD"/>
    <w:rsid w:val="00DB794E"/>
    <w:rsid w:val="00DC0C13"/>
    <w:rsid w:val="00DD41D8"/>
    <w:rsid w:val="00DD6511"/>
    <w:rsid w:val="00DE5583"/>
    <w:rsid w:val="00DF6B72"/>
    <w:rsid w:val="00DF73DF"/>
    <w:rsid w:val="00E0152E"/>
    <w:rsid w:val="00E0774B"/>
    <w:rsid w:val="00E12B32"/>
    <w:rsid w:val="00E135EB"/>
    <w:rsid w:val="00E24861"/>
    <w:rsid w:val="00E3374F"/>
    <w:rsid w:val="00E34536"/>
    <w:rsid w:val="00E459DC"/>
    <w:rsid w:val="00E51E92"/>
    <w:rsid w:val="00E54197"/>
    <w:rsid w:val="00E613B4"/>
    <w:rsid w:val="00E66703"/>
    <w:rsid w:val="00E66EFF"/>
    <w:rsid w:val="00E720AA"/>
    <w:rsid w:val="00E7299B"/>
    <w:rsid w:val="00E81AF9"/>
    <w:rsid w:val="00E84F52"/>
    <w:rsid w:val="00E95D30"/>
    <w:rsid w:val="00E96201"/>
    <w:rsid w:val="00EA3C5D"/>
    <w:rsid w:val="00EB3B10"/>
    <w:rsid w:val="00ED4467"/>
    <w:rsid w:val="00ED44D4"/>
    <w:rsid w:val="00ED74B7"/>
    <w:rsid w:val="00EE40A0"/>
    <w:rsid w:val="00EE41C0"/>
    <w:rsid w:val="00EF06FC"/>
    <w:rsid w:val="00F02E60"/>
    <w:rsid w:val="00F144D2"/>
    <w:rsid w:val="00F14D42"/>
    <w:rsid w:val="00F21887"/>
    <w:rsid w:val="00F31FA6"/>
    <w:rsid w:val="00F35F5A"/>
    <w:rsid w:val="00F373A2"/>
    <w:rsid w:val="00F51294"/>
    <w:rsid w:val="00F6116B"/>
    <w:rsid w:val="00F77022"/>
    <w:rsid w:val="00F878E2"/>
    <w:rsid w:val="00F87C8F"/>
    <w:rsid w:val="00F94C38"/>
    <w:rsid w:val="00F96F67"/>
    <w:rsid w:val="00FA3043"/>
    <w:rsid w:val="00FC0470"/>
    <w:rsid w:val="00FC7FC7"/>
    <w:rsid w:val="00FD10B3"/>
    <w:rsid w:val="00FD6DB4"/>
    <w:rsid w:val="00FE22E1"/>
    <w:rsid w:val="00FE3CF6"/>
    <w:rsid w:val="00FF568E"/>
    <w:rsid w:val="023B7F05"/>
    <w:rsid w:val="050A41FE"/>
    <w:rsid w:val="0BA7170E"/>
    <w:rsid w:val="1B2C412F"/>
    <w:rsid w:val="1B375DBA"/>
    <w:rsid w:val="1B7776DA"/>
    <w:rsid w:val="1EB53E1B"/>
    <w:rsid w:val="1F7F3532"/>
    <w:rsid w:val="2462597A"/>
    <w:rsid w:val="25E00980"/>
    <w:rsid w:val="28CB6649"/>
    <w:rsid w:val="2AB51194"/>
    <w:rsid w:val="37FF9105"/>
    <w:rsid w:val="382DEC8F"/>
    <w:rsid w:val="386D4604"/>
    <w:rsid w:val="38885D28"/>
    <w:rsid w:val="3C203EC0"/>
    <w:rsid w:val="3D232155"/>
    <w:rsid w:val="3FFFE672"/>
    <w:rsid w:val="444E3F5B"/>
    <w:rsid w:val="47D95534"/>
    <w:rsid w:val="4B6A70A0"/>
    <w:rsid w:val="4DFD8964"/>
    <w:rsid w:val="4ED50C27"/>
    <w:rsid w:val="54CA4025"/>
    <w:rsid w:val="56634F89"/>
    <w:rsid w:val="5EB63C5A"/>
    <w:rsid w:val="5FEFF62C"/>
    <w:rsid w:val="63FD7A6D"/>
    <w:rsid w:val="64CA5476"/>
    <w:rsid w:val="68FB880C"/>
    <w:rsid w:val="6913589C"/>
    <w:rsid w:val="69B77AE9"/>
    <w:rsid w:val="6A423C69"/>
    <w:rsid w:val="6E460868"/>
    <w:rsid w:val="6EDF8218"/>
    <w:rsid w:val="6F6AEE88"/>
    <w:rsid w:val="6FBF474F"/>
    <w:rsid w:val="70A0627E"/>
    <w:rsid w:val="75FF0583"/>
    <w:rsid w:val="77B5519F"/>
    <w:rsid w:val="78B16266"/>
    <w:rsid w:val="7AAAC67A"/>
    <w:rsid w:val="7ADF3980"/>
    <w:rsid w:val="7D8D5410"/>
    <w:rsid w:val="7E97CD4A"/>
    <w:rsid w:val="7EF7C22A"/>
    <w:rsid w:val="7F7B02C6"/>
    <w:rsid w:val="7F7BBAE4"/>
    <w:rsid w:val="7FE5DB0C"/>
    <w:rsid w:val="7FF6987C"/>
    <w:rsid w:val="ADE18A7D"/>
    <w:rsid w:val="BBBF757D"/>
    <w:rsid w:val="BEF738A0"/>
    <w:rsid w:val="BFF7063C"/>
    <w:rsid w:val="C1FBD848"/>
    <w:rsid w:val="D47EF79B"/>
    <w:rsid w:val="DB9EE4AF"/>
    <w:rsid w:val="DDFFFD08"/>
    <w:rsid w:val="E7D7B3E0"/>
    <w:rsid w:val="EDEE6D63"/>
    <w:rsid w:val="EF9F860C"/>
    <w:rsid w:val="EFFF4028"/>
    <w:rsid w:val="F2777CB8"/>
    <w:rsid w:val="F9FFF8D5"/>
    <w:rsid w:val="FFF7525D"/>
    <w:rsid w:val="FFFFA8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qFormat/>
    <w:uiPriority w:val="99"/>
    <w:rPr>
      <w:kern w:val="0"/>
    </w:rPr>
  </w:style>
  <w:style w:type="paragraph" w:styleId="3">
    <w:name w:val="Date"/>
    <w:basedOn w:val="1"/>
    <w:next w:val="1"/>
    <w:link w:val="19"/>
    <w:qFormat/>
    <w:uiPriority w:val="99"/>
    <w:pPr>
      <w:ind w:left="100" w:leftChars="2500"/>
    </w:pPr>
    <w:rPr>
      <w:rFonts w:ascii="宋体" w:hAnsi="宋体"/>
      <w:kern w:val="0"/>
      <w:sz w:val="24"/>
      <w:szCs w:val="24"/>
    </w:rPr>
  </w:style>
  <w:style w:type="paragraph" w:styleId="4">
    <w:name w:val="Body Text Indent 2"/>
    <w:basedOn w:val="1"/>
    <w:link w:val="20"/>
    <w:qFormat/>
    <w:uiPriority w:val="99"/>
    <w:pPr>
      <w:spacing w:line="288" w:lineRule="auto"/>
      <w:ind w:firstLine="435"/>
    </w:pPr>
    <w:rPr>
      <w:rFonts w:ascii="Times New Roman" w:hAnsi="Times New Roman"/>
      <w:kern w:val="0"/>
    </w:rPr>
  </w:style>
  <w:style w:type="paragraph" w:styleId="5">
    <w:name w:val="Balloon Text"/>
    <w:basedOn w:val="1"/>
    <w:link w:val="21"/>
    <w:semiHidden/>
    <w:qFormat/>
    <w:uiPriority w:val="99"/>
    <w:rPr>
      <w:kern w:val="0"/>
      <w:sz w:val="2"/>
      <w:szCs w:val="20"/>
    </w:rPr>
  </w:style>
  <w:style w:type="paragraph" w:styleId="6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7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24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/>
      <w:kern w:val="0"/>
      <w:sz w:val="24"/>
      <w:szCs w:val="24"/>
    </w:rPr>
  </w:style>
  <w:style w:type="paragraph" w:styleId="9">
    <w:name w:val="annotation subject"/>
    <w:basedOn w:val="2"/>
    <w:next w:val="2"/>
    <w:link w:val="18"/>
    <w:semiHidden/>
    <w:qFormat/>
    <w:uiPriority w:val="99"/>
    <w:rPr>
      <w:b/>
      <w:bCs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locked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basedOn w:val="12"/>
    <w:qFormat/>
    <w:uiPriority w:val="99"/>
    <w:rPr>
      <w:rFonts w:cs="Times New Roman"/>
      <w:color w:val="DD4B39"/>
    </w:rPr>
  </w:style>
  <w:style w:type="character" w:styleId="16">
    <w:name w:val="annotation reference"/>
    <w:basedOn w:val="12"/>
    <w:semiHidden/>
    <w:qFormat/>
    <w:uiPriority w:val="99"/>
    <w:rPr>
      <w:rFonts w:cs="Times New Roman"/>
      <w:sz w:val="21"/>
    </w:rPr>
  </w:style>
  <w:style w:type="character" w:customStyle="1" w:styleId="17">
    <w:name w:val="批注文字 Char"/>
    <w:basedOn w:val="12"/>
    <w:link w:val="2"/>
    <w:semiHidden/>
    <w:qFormat/>
    <w:locked/>
    <w:uiPriority w:val="99"/>
    <w:rPr>
      <w:rFonts w:cs="Times New Roman"/>
      <w:sz w:val="21"/>
    </w:rPr>
  </w:style>
  <w:style w:type="character" w:customStyle="1" w:styleId="18">
    <w:name w:val="批注主题 Char"/>
    <w:basedOn w:val="17"/>
    <w:link w:val="9"/>
    <w:semiHidden/>
    <w:qFormat/>
    <w:locked/>
    <w:uiPriority w:val="99"/>
    <w:rPr>
      <w:b/>
    </w:rPr>
  </w:style>
  <w:style w:type="character" w:customStyle="1" w:styleId="19">
    <w:name w:val="日期 Char"/>
    <w:basedOn w:val="12"/>
    <w:link w:val="3"/>
    <w:qFormat/>
    <w:locked/>
    <w:uiPriority w:val="99"/>
    <w:rPr>
      <w:rFonts w:ascii="宋体" w:hAnsi="宋体" w:eastAsia="宋体" w:cs="Times New Roman"/>
      <w:sz w:val="24"/>
    </w:rPr>
  </w:style>
  <w:style w:type="character" w:customStyle="1" w:styleId="20">
    <w:name w:val="正文文本缩进 2 Char"/>
    <w:basedOn w:val="12"/>
    <w:link w:val="4"/>
    <w:qFormat/>
    <w:locked/>
    <w:uiPriority w:val="99"/>
    <w:rPr>
      <w:rFonts w:ascii="Times New Roman" w:hAnsi="Times New Roman" w:eastAsia="宋体" w:cs="Times New Roman"/>
      <w:sz w:val="21"/>
    </w:rPr>
  </w:style>
  <w:style w:type="character" w:customStyle="1" w:styleId="21">
    <w:name w:val="批注框文本 Char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22">
    <w:name w:val="页脚 Char"/>
    <w:basedOn w:val="12"/>
    <w:link w:val="6"/>
    <w:qFormat/>
    <w:locked/>
    <w:uiPriority w:val="99"/>
    <w:rPr>
      <w:rFonts w:cs="Times New Roman"/>
      <w:sz w:val="18"/>
    </w:rPr>
  </w:style>
  <w:style w:type="character" w:customStyle="1" w:styleId="23">
    <w:name w:val="页眉 Char"/>
    <w:basedOn w:val="12"/>
    <w:link w:val="7"/>
    <w:qFormat/>
    <w:locked/>
    <w:uiPriority w:val="99"/>
    <w:rPr>
      <w:rFonts w:cs="Times New Roman"/>
      <w:sz w:val="18"/>
    </w:rPr>
  </w:style>
  <w:style w:type="character" w:customStyle="1" w:styleId="24">
    <w:name w:val="HTML 预设格式 Char"/>
    <w:basedOn w:val="12"/>
    <w:link w:val="8"/>
    <w:qFormat/>
    <w:locked/>
    <w:uiPriority w:val="99"/>
    <w:rPr>
      <w:rFonts w:ascii="宋体" w:eastAsia="宋体" w:cs="Times New Roman"/>
      <w:sz w:val="24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前言、引言标题"/>
    <w:next w:val="1"/>
    <w:qFormat/>
    <w:uiPriority w:val="99"/>
    <w:pPr>
      <w:shd w:val="clear" w:color="FFFFFF" w:fill="FFFFFF"/>
      <w:tabs>
        <w:tab w:val="left" w:pos="360"/>
      </w:tabs>
      <w:spacing w:before="640" w:after="560" w:line="560" w:lineRule="exact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8">
    <w:name w:val="段"/>
    <w:link w:val="29"/>
    <w:qFormat/>
    <w:uiPriority w:val="99"/>
    <w:pPr>
      <w:autoSpaceDE w:val="0"/>
      <w:autoSpaceDN w:val="0"/>
      <w:spacing w:line="560" w:lineRule="exact"/>
      <w:ind w:firstLine="200" w:firstLineChars="200"/>
      <w:jc w:val="both"/>
    </w:pPr>
    <w:rPr>
      <w:rFonts w:ascii="宋体" w:hAnsi="Times New Roman" w:eastAsia="宋体" w:cs="Times New Roman"/>
      <w:sz w:val="22"/>
      <w:lang w:val="en-US" w:eastAsia="zh-CN" w:bidi="ar-SA"/>
    </w:rPr>
  </w:style>
  <w:style w:type="character" w:customStyle="1" w:styleId="29">
    <w:name w:val="段 Char"/>
    <w:link w:val="28"/>
    <w:qFormat/>
    <w:locked/>
    <w:uiPriority w:val="99"/>
    <w:rPr>
      <w:rFonts w:ascii="宋体" w:hAnsi="Times New Roman"/>
      <w:sz w:val="22"/>
      <w:lang w:bidi="ar-SA"/>
    </w:rPr>
  </w:style>
  <w:style w:type="paragraph" w:customStyle="1" w:styleId="30">
    <w:name w:val="1 Char 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31">
    <w:name w:val="Char1"/>
    <w:basedOn w:val="1"/>
    <w:qFormat/>
    <w:uiPriority w:val="99"/>
    <w:pPr>
      <w:tabs>
        <w:tab w:val="right" w:pos="8494"/>
      </w:tabs>
      <w:spacing w:after="160" w:line="240" w:lineRule="exac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2">
    <w:name w:val="Revision1"/>
    <w:hidden/>
    <w:semiHidden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33">
    <w:name w:val="style7"/>
    <w:basedOn w:val="12"/>
    <w:qFormat/>
    <w:uiPriority w:val="0"/>
  </w:style>
  <w:style w:type="paragraph" w:customStyle="1" w:styleId="34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文献分类号"/>
    <w:autoRedefine/>
    <w:qFormat/>
    <w:uiPriority w:val="0"/>
    <w:pPr>
      <w:framePr w:w="9639" w:wrap="around" w:vAnchor="page" w:hAnchor="page" w:x="1373" w:y="568"/>
      <w:widowControl w:val="0"/>
      <w:ind w:left="-462" w:leftChars="-220" w:firstLine="462" w:firstLineChars="220"/>
      <w:textAlignment w:val="center"/>
    </w:pPr>
    <w:rPr>
      <w:rFonts w:hint="eastAsia"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36">
    <w:name w:val="标准称谓3"/>
    <w:next w:val="1"/>
    <w:autoRedefine/>
    <w:qFormat/>
    <w:uiPriority w:val="0"/>
    <w:pPr>
      <w:framePr w:w="9639" w:h="624" w:hRule="exact" w:hSpace="181" w:vSpace="181" w:wrap="around" w:vAnchor="page" w:hAnchor="page" w:x="1305" w:y="2269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黑体" w:hAnsi="Times New Roman" w:eastAsia="黑体" w:cs="Times New Roman"/>
      <w:sz w:val="52"/>
      <w:szCs w:val="52"/>
      <w:lang w:val="en-US" w:eastAsia="zh-CN" w:bidi="ar-SA"/>
    </w:rPr>
  </w:style>
  <w:style w:type="paragraph" w:customStyle="1" w:styleId="37">
    <w:name w:val="封面标准号2"/>
    <w:autoRedefine/>
    <w:qFormat/>
    <w:uiPriority w:val="0"/>
    <w:pPr>
      <w:framePr w:w="9355" w:h="624" w:hRule="exact" w:hSpace="181" w:vSpace="181" w:wrap="around" w:vAnchor="page" w:hAnchor="page" w:x="1419" w:y="3284"/>
      <w:spacing w:line="280" w:lineRule="exact"/>
      <w:jc w:val="right"/>
    </w:pPr>
    <w:rPr>
      <w:rFonts w:hint="eastAsia" w:ascii="黑体" w:hAnsi="Times New Roman" w:eastAsia="黑体" w:cs="Times New Roman"/>
      <w:sz w:val="28"/>
      <w:lang w:val="en-US" w:eastAsia="zh-CN" w:bidi="ar-SA"/>
    </w:rPr>
  </w:style>
  <w:style w:type="paragraph" w:customStyle="1" w:styleId="38">
    <w:name w:val="封面标准顶部线"/>
    <w:autoRedefine/>
    <w:qFormat/>
    <w:uiPriority w:val="0"/>
    <w:pPr>
      <w:framePr w:w="9673" w:hSpace="181" w:wrap="around" w:vAnchor="page" w:hAnchor="page" w:x="1390" w:y="4242"/>
      <w:spacing w:line="0" w:lineRule="atLeast"/>
    </w:pPr>
    <w:rPr>
      <w:rFonts w:hint="eastAsia" w:ascii="宋体" w:hAnsi="Times New Roman" w:eastAsia="宋体" w:cs="Times New Roman"/>
      <w:sz w:val="21"/>
      <w:lang w:val="en-US" w:eastAsia="zh-CN" w:bidi="ar-SA"/>
    </w:rPr>
  </w:style>
  <w:style w:type="paragraph" w:customStyle="1" w:styleId="39">
    <w:name w:val="封面日期"/>
    <w:autoRedefine/>
    <w:qFormat/>
    <w:uiPriority w:val="0"/>
    <w:pPr>
      <w:framePr w:w="9673" w:vSpace="181" w:wrap="around" w:vAnchor="page" w:hAnchor="page" w:x="1419" w:y="14176" w:anchorLock="1"/>
      <w:spacing w:line="360" w:lineRule="exact"/>
    </w:pPr>
    <w:rPr>
      <w:rFonts w:hint="eastAsia" w:ascii="黑体" w:hAnsi="Times New Roman" w:eastAsia="黑体" w:cs="Times New Roman"/>
      <w:sz w:val="28"/>
      <w:lang w:val="en-US" w:eastAsia="zh-CN" w:bidi="ar-SA"/>
    </w:rPr>
  </w:style>
  <w:style w:type="paragraph" w:customStyle="1" w:styleId="40">
    <w:name w:val="二级条标题"/>
    <w:basedOn w:val="41"/>
    <w:next w:val="28"/>
    <w:qFormat/>
    <w:uiPriority w:val="0"/>
    <w:pPr>
      <w:numPr>
        <w:ilvl w:val="2"/>
        <w:numId w:val="1"/>
      </w:numPr>
      <w:outlineLvl w:val="3"/>
    </w:pPr>
  </w:style>
  <w:style w:type="paragraph" w:customStyle="1" w:styleId="41">
    <w:name w:val="一级条标题"/>
    <w:next w:val="28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7176</Words>
  <Characters>8281</Characters>
  <Lines>62</Lines>
  <Paragraphs>17</Paragraphs>
  <TotalTime>1</TotalTime>
  <ScaleCrop>false</ScaleCrop>
  <LinksUpToDate>false</LinksUpToDate>
  <CharactersWithSpaces>8478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2017-12-19T20:44:00Z</dcterms:created>
  <dc:creator>dell</dc:creator>
  <cp:lastModifiedBy>房正</cp:lastModifiedBy>
  <cp:lastPrinted>2026-03-26T16:38:00Z</cp:lastPrinted>
  <dcterms:modified xsi:type="dcterms:W3CDTF">2026-04-15T06:21:39Z</dcterms:modified>
  <dc:title>前  言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eyJoZGlkIjoiMGUyOGZlMzdlZWEyMGFlYzc0ZWE1MGJlZjA4NmY3NTMiLCJ1c2VySWQiOiIyNzM3NDc2MDMifQ==</vt:lpwstr>
  </property>
  <property fmtid="{D5CDD505-2E9C-101B-9397-08002B2CF9AE}" pid="4" name="ICV">
    <vt:lpwstr>1B762AF0A62848758E19838E5C703250_13</vt:lpwstr>
  </property>
</Properties>
</file>