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0"/>
        <w:gridCol w:w="7"/>
      </w:tblGrid>
      <w:tr w14:paraId="3A8F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15CA179A">
            <w:pPr>
              <w:pStyle w:val="34"/>
              <w:framePr w:wrap="around"/>
              <w:rPr>
                <w:rFonts w:hint="default"/>
              </w:rPr>
            </w:pPr>
            <w:r>
              <w:t>ICS</w:t>
            </w:r>
          </w:p>
        </w:tc>
        <w:tc>
          <w:tcPr>
            <w:tcW w:w="9107" w:type="dxa"/>
            <w:gridSpan w:val="2"/>
          </w:tcPr>
          <w:p w14:paraId="7DFCAE51">
            <w:pPr>
              <w:pStyle w:val="34"/>
              <w:framePr w:wrap="around"/>
              <w:rPr>
                <w:rFonts w:hint="default"/>
              </w:rPr>
            </w:pPr>
          </w:p>
        </w:tc>
      </w:tr>
      <w:tr w14:paraId="49AF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32C92767">
            <w:pPr>
              <w:pStyle w:val="34"/>
              <w:framePr w:wrap="around"/>
              <w:rPr>
                <w:rFonts w:hint="default"/>
              </w:rPr>
            </w:pPr>
            <w:r>
              <w:t>CCS</w:t>
            </w:r>
          </w:p>
        </w:tc>
        <w:tc>
          <w:tcPr>
            <w:tcW w:w="9107" w:type="dxa"/>
            <w:gridSpan w:val="2"/>
          </w:tcPr>
          <w:tbl>
            <w:tblPr>
              <w:tblStyle w:val="11"/>
              <w:tblpPr w:vertAnchor="page" w:horzAnchor="margin" w:tblpXSpec="right" w:tblpY="114"/>
              <w:tblOverlap w:val="never"/>
              <w:tblW w:w="6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62"/>
            </w:tblGrid>
            <w:tr w14:paraId="54B392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1" w:hRule="atLeast"/>
              </w:trPr>
              <w:tc>
                <w:tcPr>
                  <w:tcW w:w="9107" w:type="dxa"/>
                  <w:vAlign w:val="center"/>
                </w:tcPr>
                <w:p w14:paraId="2538ADF4">
                  <w:pPr>
                    <w:pStyle w:val="34"/>
                    <w:framePr w:wrap="around"/>
                    <w:ind w:firstLine="2764"/>
                    <w:jc w:val="right"/>
                    <w:rPr>
                      <w:rFonts w:hint="default" w:ascii="Times New Roman" w:eastAsia="宋体"/>
                      <w:b/>
                      <w:w w:val="130"/>
                      <w:kern w:val="0"/>
                    </w:rPr>
                  </w:pPr>
                  <w:r>
                    <w:rPr>
                      <w:rFonts w:hint="default" w:hAnsi="黑体" w:cs="楷体"/>
                      <w:b/>
                      <w:w w:val="130"/>
                      <w:kern w:val="0"/>
                      <w:sz w:val="96"/>
                    </w:rPr>
                    <w:t>T/CGFA</w:t>
                  </w:r>
                </w:p>
              </w:tc>
            </w:tr>
          </w:tbl>
          <w:p w14:paraId="14F4747C">
            <w:pPr>
              <w:pStyle w:val="34"/>
              <w:framePr w:wrap="around"/>
              <w:rPr>
                <w:rFonts w:hint="default"/>
              </w:rPr>
            </w:pPr>
          </w:p>
        </w:tc>
      </w:tr>
      <w:tr w14:paraId="39A0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9563" w:type="dxa"/>
            <w:gridSpan w:val="2"/>
          </w:tcPr>
          <w:p w14:paraId="08A74832">
            <w:pPr>
              <w:pStyle w:val="35"/>
              <w:framePr w:wrap="around"/>
              <w:rPr>
                <w:szCs w:val="21"/>
              </w:rPr>
            </w:pPr>
            <w:r>
              <w:rPr>
                <w:rFonts w:hint="eastAsia"/>
              </w:rPr>
              <w:t>中国绿色食品协会团体标准</w:t>
            </w:r>
          </w:p>
        </w:tc>
      </w:tr>
    </w:tbl>
    <w:p w14:paraId="4F640C27">
      <w:pPr>
        <w:pStyle w:val="36"/>
        <w:framePr w:wrap="around" w:x="1470" w:y="3511"/>
        <w:rPr>
          <w:rFonts w:hint="defau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T/CGFA XXXX-2026</w:t>
      </w:r>
    </w:p>
    <w:p w14:paraId="0712053B">
      <w:pPr>
        <w:pStyle w:val="36"/>
        <w:framePr w:wrap="around" w:x="1470" w:y="3511"/>
        <w:rPr>
          <w:rFonts w:hint="defau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11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0972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1" w:type="dxa"/>
            <w:tcBorders>
              <w:top w:val="single" w:color="auto" w:sz="8" w:space="0"/>
            </w:tcBorders>
          </w:tcPr>
          <w:p w14:paraId="2EC1209E">
            <w:pPr>
              <w:pStyle w:val="37"/>
              <w:framePr w:wrap="around"/>
              <w:rPr>
                <w:rFonts w:hint="default"/>
                <w:sz w:val="10"/>
              </w:rPr>
            </w:pPr>
          </w:p>
        </w:tc>
      </w:tr>
    </w:tbl>
    <w:p w14:paraId="452D5A98">
      <w:pPr>
        <w:pStyle w:val="24"/>
        <w:spacing w:before="156" w:beforeLines="50" w:after="156" w:afterLines="50" w:line="360" w:lineRule="auto"/>
        <w:ind w:left="357" w:firstLine="0" w:firstLineChars="0"/>
        <w:contextualSpacing/>
        <w:jc w:val="center"/>
        <w:rPr>
          <w:rFonts w:ascii="黑体" w:hAnsi="黑体" w:eastAsia="黑体" w:cs="宋体"/>
          <w:sz w:val="18"/>
          <w:szCs w:val="18"/>
        </w:rPr>
      </w:pPr>
    </w:p>
    <w:p w14:paraId="63F9C980">
      <w:pPr>
        <w:pStyle w:val="24"/>
        <w:spacing w:before="156" w:beforeLines="50" w:after="156" w:afterLines="50" w:line="360" w:lineRule="auto"/>
        <w:ind w:left="357" w:firstLine="0" w:firstLineChars="0"/>
        <w:contextualSpacing/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 xml:space="preserve">绿色食品 </w:t>
      </w:r>
      <w:r>
        <w:rPr>
          <w:rFonts w:hint="eastAsia" w:ascii="黑体" w:hAnsi="黑体" w:eastAsia="黑体" w:cs="宋体"/>
          <w:sz w:val="48"/>
          <w:szCs w:val="48"/>
        </w:rPr>
        <w:t>湖南湖北黑茶</w:t>
      </w:r>
      <w:r>
        <w:rPr>
          <w:rFonts w:hint="eastAsia" w:ascii="黑体" w:hAnsi="黑体" w:eastAsia="黑体"/>
          <w:sz w:val="48"/>
          <w:szCs w:val="48"/>
        </w:rPr>
        <w:t>生产操作规程</w:t>
      </w:r>
    </w:p>
    <w:p w14:paraId="6932320A">
      <w:pPr>
        <w:pStyle w:val="24"/>
        <w:spacing w:before="156" w:beforeLines="50" w:after="156" w:afterLines="50" w:line="360" w:lineRule="auto"/>
        <w:ind w:left="357" w:firstLine="0" w:firstLineChars="0"/>
        <w:contextualSpacing/>
        <w:jc w:val="center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r>
        <w:rPr>
          <w:rStyle w:val="13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Code of Practice for Green Food Dark Tea Production in Hunan and Hubei</w:t>
      </w:r>
    </w:p>
    <w:p w14:paraId="0D1B4BFB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28"/>
          <w:szCs w:val="28"/>
        </w:rPr>
      </w:pPr>
    </w:p>
    <w:p w14:paraId="7FE853FC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667B75A7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征求意见稿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）</w:t>
      </w:r>
    </w:p>
    <w:p w14:paraId="2731B570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2F14890B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3483F356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tbl>
      <w:tblPr>
        <w:tblStyle w:val="11"/>
        <w:tblW w:w="10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4"/>
        <w:gridCol w:w="5508"/>
      </w:tblGrid>
      <w:tr w14:paraId="6158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4974" w:type="dxa"/>
            <w:tcBorders>
              <w:bottom w:val="single" w:color="auto" w:sz="8" w:space="0"/>
            </w:tcBorders>
            <w:tcMar>
              <w:left w:w="57" w:type="dxa"/>
              <w:bottom w:w="28" w:type="dxa"/>
            </w:tcMar>
          </w:tcPr>
          <w:p w14:paraId="429AC9DE">
            <w:pPr>
              <w:pStyle w:val="38"/>
              <w:framePr w:wrap="around"/>
              <w:rPr>
                <w:rFonts w:hint="default"/>
              </w:rPr>
            </w:pPr>
            <w:r>
              <w:t xml:space="preserve">xxxx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xx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xx 发布</w:t>
            </w:r>
          </w:p>
        </w:tc>
        <w:tc>
          <w:tcPr>
            <w:tcW w:w="5508" w:type="dxa"/>
            <w:tcBorders>
              <w:bottom w:val="single" w:color="auto" w:sz="8" w:space="0"/>
            </w:tcBorders>
            <w:tcMar>
              <w:right w:w="57" w:type="dxa"/>
            </w:tcMar>
          </w:tcPr>
          <w:p w14:paraId="3925C103">
            <w:pPr>
              <w:pStyle w:val="38"/>
              <w:framePr w:wrap="around"/>
              <w:ind w:right="1120"/>
              <w:jc w:val="right"/>
              <w:rPr>
                <w:rFonts w:hint="default"/>
              </w:rPr>
            </w:pPr>
            <w:r>
              <w:t xml:space="preserve">    xxxx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xx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xx 实施</w:t>
            </w:r>
          </w:p>
        </w:tc>
      </w:tr>
    </w:tbl>
    <w:p w14:paraId="231F73B5">
      <w:pPr>
        <w:framePr w:w="7433" w:h="584" w:hRule="exact" w:hSpace="181" w:vSpace="181" w:wrap="around" w:vAnchor="page" w:hAnchor="margin" w:xAlign="center" w:y="15151" w:anchorLock="1"/>
        <w:spacing w:line="0" w:lineRule="atLeas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ascii="黑体" w:hAnsi="黑体" w:eastAsia="黑体"/>
          <w:spacing w:val="20"/>
          <w:kern w:val="0"/>
          <w:sz w:val="44"/>
          <w:szCs w:val="44"/>
        </w:rPr>
        <w:t>中国绿色食品协会</w:t>
      </w:r>
      <w:r>
        <w:rPr>
          <w:rFonts w:ascii="黑体" w:hAnsi="黑体" w:eastAsia="黑体"/>
          <w:kern w:val="0"/>
          <w:sz w:val="44"/>
          <w:szCs w:val="44"/>
        </w:rPr>
        <w:t xml:space="preserve">    </w:t>
      </w:r>
      <w:r>
        <w:rPr>
          <w:rFonts w:ascii="黑体" w:hAnsi="黑体" w:eastAsia="黑体"/>
          <w:kern w:val="0"/>
          <w:sz w:val="36"/>
          <w:szCs w:val="36"/>
        </w:rPr>
        <w:t>发布</w:t>
      </w:r>
    </w:p>
    <w:p w14:paraId="05C42A9A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31BFEFA1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403E3AE7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57FD0479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04C1326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2255920F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6E235720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前    言</w:t>
      </w:r>
    </w:p>
    <w:p w14:paraId="4DDCC5CC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2ACE848B">
      <w:pPr>
        <w:pStyle w:val="24"/>
        <w:spacing w:before="156" w:beforeLines="50" w:after="156" w:afterLines="50" w:line="400" w:lineRule="atLeast"/>
        <w:contextualSpacing/>
        <w:rPr>
          <w:rFonts w:ascii="宋体" w:hAnsi="宋体" w:cs="宋体"/>
        </w:rPr>
      </w:pPr>
      <w:r>
        <w:rPr>
          <w:rFonts w:hint="eastAsia" w:ascii="宋体" w:hAnsi="宋体" w:cs="宋体"/>
        </w:rPr>
        <w:t>本文件按照 GB/T 1.1-2020《标准化工作导则  第1部分：标准化文件的结构和起草规则》的规则起草。</w:t>
      </w:r>
    </w:p>
    <w:p w14:paraId="018AF070">
      <w:pPr>
        <w:pStyle w:val="24"/>
        <w:spacing w:before="156" w:beforeLines="50" w:after="156" w:afterLines="50" w:line="400" w:lineRule="atLeast"/>
        <w:contextualSpacing/>
        <w:rPr>
          <w:rFonts w:ascii="宋体" w:hAnsi="宋体" w:cs="宋体"/>
        </w:rPr>
      </w:pPr>
      <w:r>
        <w:rPr>
          <w:rFonts w:hint="eastAsia" w:ascii="宋体" w:hAnsi="宋体" w:cs="宋体"/>
        </w:rPr>
        <w:t>请注意本文件的某些内容可能涉及专利，本文件的发布机构不承担识别专利的责任。</w:t>
      </w:r>
    </w:p>
    <w:p w14:paraId="66D2D5C7">
      <w:pPr>
        <w:pStyle w:val="24"/>
        <w:spacing w:before="156" w:beforeLines="50" w:after="156" w:afterLines="50" w:line="400" w:lineRule="atLeast"/>
        <w:contextualSpacing/>
        <w:rPr>
          <w:rFonts w:ascii="宋体" w:hAnsi="宋体" w:cs="宋体"/>
        </w:rPr>
      </w:pPr>
      <w:r>
        <w:rPr>
          <w:rFonts w:hint="eastAsia" w:ascii="宋体" w:hAnsi="宋体" w:cs="宋体"/>
        </w:rPr>
        <w:t>本文件由中国绿色食品发展中心提出。</w:t>
      </w:r>
    </w:p>
    <w:p w14:paraId="3B8C8CD1">
      <w:pPr>
        <w:pStyle w:val="24"/>
        <w:spacing w:before="156" w:beforeLines="50" w:after="156" w:afterLines="50" w:line="400" w:lineRule="atLeast"/>
        <w:contextualSpacing/>
        <w:rPr>
          <w:rFonts w:ascii="宋体" w:hAnsi="宋体" w:cs="宋体"/>
        </w:rPr>
      </w:pPr>
      <w:r>
        <w:rPr>
          <w:rFonts w:hint="eastAsia" w:ascii="宋体" w:hAnsi="宋体" w:cs="宋体"/>
        </w:rPr>
        <w:t>本文件由中国绿色食品协会归口。</w:t>
      </w:r>
    </w:p>
    <w:p w14:paraId="3E040652">
      <w:pPr>
        <w:pStyle w:val="24"/>
        <w:spacing w:before="156" w:beforeLines="50" w:after="156" w:afterLines="50" w:line="400" w:lineRule="atLeast"/>
        <w:contextualSpacing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本文件起草单位：</w:t>
      </w:r>
      <w:r>
        <w:rPr>
          <w:rFonts w:hint="eastAsia" w:ascii="宋体" w:hAnsi="宋体" w:cs="宋体"/>
          <w:lang w:val="en-US" w:eastAsia="zh-CN"/>
        </w:rPr>
        <w:t>*</w:t>
      </w:r>
      <w:bookmarkStart w:id="13" w:name="_GoBack"/>
      <w:bookmarkEnd w:id="13"/>
    </w:p>
    <w:p w14:paraId="514AAD16">
      <w:pPr>
        <w:spacing w:line="360" w:lineRule="auto"/>
        <w:ind w:firstLine="420" w:firstLineChars="200"/>
        <w:rPr>
          <w:rFonts w:hint="eastAsia" w:ascii="宋体" w:eastAsia="宋体"/>
          <w:lang w:val="en-US" w:eastAsia="zh-CN"/>
        </w:rPr>
      </w:pPr>
      <w:r>
        <w:rPr>
          <w:rFonts w:hint="eastAsia" w:ascii="宋体" w:hAnsi="宋体"/>
        </w:rPr>
        <w:t>本文件主要起草人：</w:t>
      </w:r>
      <w:r>
        <w:rPr>
          <w:rFonts w:hint="eastAsia" w:ascii="宋体" w:hAnsi="宋体"/>
          <w:lang w:val="en-US" w:eastAsia="zh-CN"/>
        </w:rPr>
        <w:t>*</w:t>
      </w:r>
    </w:p>
    <w:p w14:paraId="56E0B6FB">
      <w:pPr>
        <w:rPr>
          <w:rFonts w:ascii="宋体"/>
        </w:rPr>
      </w:pPr>
      <w:r>
        <w:rPr>
          <w:rFonts w:ascii="宋体"/>
        </w:rPr>
        <w:br w:type="page"/>
      </w:r>
    </w:p>
    <w:p w14:paraId="609F1D19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绿色食品 湖南湖北黑茶生产操作规程</w:t>
      </w:r>
    </w:p>
    <w:p w14:paraId="35FBBF2D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黑体"/>
        </w:rPr>
      </w:pPr>
    </w:p>
    <w:p w14:paraId="09B47875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1</w:t>
      </w:r>
      <w:r>
        <w:rPr>
          <w:rFonts w:hint="eastAsia" w:ascii="黑体" w:hAnsi="黑体" w:eastAsia="黑体" w:cs="黑体"/>
        </w:rPr>
        <w:t xml:space="preserve"> 范围</w:t>
      </w:r>
    </w:p>
    <w:p w14:paraId="21BB7765">
      <w:pPr>
        <w:pStyle w:val="24"/>
        <w:spacing w:line="380" w:lineRule="exact"/>
        <w:contextualSpacing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本规程规定了湖南湖北地区绿色食品黑茶生产的产地环境、茶园规划与建设、品种及茶苗选择、茶树种植、树冠管理、土壤管理与施肥、病虫草害防治、鲜叶采摘、茶叶加工、生产废弃物的处理、包装、储藏和运输及生产档案。</w:t>
      </w:r>
    </w:p>
    <w:p w14:paraId="79C13767">
      <w:pPr>
        <w:pStyle w:val="24"/>
        <w:spacing w:line="380" w:lineRule="exact"/>
        <w:contextualSpacing/>
        <w:rPr>
          <w:rFonts w:ascii="宋体"/>
        </w:rPr>
      </w:pPr>
      <w:r>
        <w:rPr>
          <w:rFonts w:hint="eastAsia" w:ascii="宋体" w:hAnsi="宋体" w:cs="宋体"/>
          <w:kern w:val="0"/>
        </w:rPr>
        <w:t>本规程适用于湖北和湖南的绿色食品</w:t>
      </w:r>
      <w:r>
        <w:rPr>
          <w:rFonts w:hint="eastAsia" w:ascii="宋体" w:hAnsi="宋体" w:cs="TimesNewRomanPSMT"/>
          <w:kern w:val="0"/>
        </w:rPr>
        <w:t>黑</w:t>
      </w:r>
      <w:r>
        <w:rPr>
          <w:rFonts w:hint="eastAsia" w:ascii="宋体" w:hAnsi="宋体" w:cs="宋体"/>
          <w:kern w:val="0"/>
        </w:rPr>
        <w:t>茶生产。</w:t>
      </w:r>
    </w:p>
    <w:p w14:paraId="39B4C295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2</w:t>
      </w:r>
      <w:r>
        <w:rPr>
          <w:rFonts w:hint="eastAsia" w:ascii="黑体" w:hAnsi="黑体" w:eastAsia="黑体" w:cs="黑体"/>
        </w:rPr>
        <w:t xml:space="preserve"> 规范性引用文件</w:t>
      </w:r>
    </w:p>
    <w:p w14:paraId="142A3043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hint="eastAsia" w:ascii="宋体" w:hAnsi="宋体" w:cs="宋体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264791E7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GB 2763 </w:t>
      </w:r>
      <w:r>
        <w:rPr>
          <w:rFonts w:hint="eastAsia" w:ascii="宋体" w:hAnsi="宋体" w:cs="宋体"/>
        </w:rPr>
        <w:t>食品中农药最大残留限量</w:t>
      </w:r>
    </w:p>
    <w:p w14:paraId="7C6BA895">
      <w:pPr>
        <w:pStyle w:val="24"/>
        <w:spacing w:line="380" w:lineRule="exact"/>
        <w:contextualSpacing/>
        <w:rPr>
          <w:rFonts w:ascii="宋体" w:hAnsi="宋体" w:cs="宋体"/>
        </w:rPr>
      </w:pPr>
      <w:r>
        <w:rPr>
          <w:rFonts w:ascii="宋体" w:hAnsi="宋体" w:cs="宋体"/>
        </w:rPr>
        <w:t xml:space="preserve">GB 5749 </w:t>
      </w:r>
      <w:r>
        <w:rPr>
          <w:rFonts w:hint="eastAsia" w:ascii="宋体" w:hAnsi="宋体" w:cs="宋体"/>
        </w:rPr>
        <w:t>生活饮用水卫生标准</w:t>
      </w:r>
    </w:p>
    <w:p w14:paraId="2C48FC73">
      <w:pPr>
        <w:pStyle w:val="24"/>
        <w:spacing w:line="380" w:lineRule="exact"/>
        <w:contextualSpacing/>
      </w:pPr>
      <w:r>
        <w:t>GB 7718 预包装食品标签通则</w:t>
      </w:r>
    </w:p>
    <w:p w14:paraId="6C1C0D59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GB/T 8321.1-6 </w:t>
      </w:r>
      <w:r>
        <w:rPr>
          <w:rFonts w:hint="eastAsia" w:ascii="宋体" w:hAnsi="宋体" w:cs="宋体"/>
        </w:rPr>
        <w:t>农药合理使用准则</w:t>
      </w:r>
    </w:p>
    <w:p w14:paraId="15C004A4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GB/T 9833.9-2-13 </w:t>
      </w:r>
      <w:r>
        <w:rPr>
          <w:rFonts w:hint="eastAsia" w:ascii="宋体" w:hAnsi="宋体" w:cs="宋体"/>
        </w:rPr>
        <w:t>紧压茶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第</w:t>
      </w:r>
      <w:r>
        <w:rPr>
          <w:rFonts w:ascii="宋体" w:hAnsi="宋体" w:cs="宋体"/>
        </w:rPr>
        <w:t>9</w:t>
      </w:r>
      <w:r>
        <w:rPr>
          <w:rFonts w:hint="eastAsia" w:ascii="宋体" w:hAnsi="宋体" w:cs="宋体"/>
        </w:rPr>
        <w:t>部分：青砖茶</w:t>
      </w:r>
    </w:p>
    <w:p w14:paraId="03277B35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GB 11767 </w:t>
      </w:r>
      <w:r>
        <w:rPr>
          <w:rFonts w:hint="eastAsia" w:ascii="宋体" w:hAnsi="宋体" w:cs="宋体"/>
        </w:rPr>
        <w:t>茶树种苗</w:t>
      </w:r>
    </w:p>
    <w:p w14:paraId="161068AA">
      <w:pPr>
        <w:pStyle w:val="24"/>
        <w:spacing w:line="380" w:lineRule="exact"/>
        <w:contextualSpacing/>
      </w:pPr>
      <w:r>
        <w:t>GB14881 食品生产通用卫生规范</w:t>
      </w:r>
    </w:p>
    <w:p w14:paraId="085FA893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GB/T 32744 </w:t>
      </w:r>
      <w:r>
        <w:rPr>
          <w:rFonts w:hint="eastAsia" w:ascii="宋体" w:hAnsi="宋体" w:cs="宋体"/>
        </w:rPr>
        <w:t>茶叶加工良好规范</w:t>
      </w:r>
    </w:p>
    <w:p w14:paraId="272C5524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NY/T 288 </w:t>
      </w:r>
      <w:r>
        <w:rPr>
          <w:rFonts w:hint="eastAsia" w:ascii="宋体" w:hAnsi="宋体" w:cs="宋体"/>
        </w:rPr>
        <w:t>绿色食品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茶叶</w:t>
      </w:r>
    </w:p>
    <w:p w14:paraId="106B5589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NY/T 391 </w:t>
      </w:r>
      <w:r>
        <w:rPr>
          <w:rFonts w:hint="eastAsia" w:ascii="宋体" w:hAnsi="宋体" w:cs="宋体"/>
        </w:rPr>
        <w:t>绿色食品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产地环境质量</w:t>
      </w:r>
    </w:p>
    <w:p w14:paraId="240322F7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NY/T 392 </w:t>
      </w:r>
      <w:r>
        <w:rPr>
          <w:rFonts w:hint="eastAsia" w:ascii="宋体" w:hAnsi="宋体" w:cs="宋体"/>
        </w:rPr>
        <w:t>绿色食品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食品添加剂使用准则</w:t>
      </w:r>
    </w:p>
    <w:p w14:paraId="69CC6DBF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NY/T 393 </w:t>
      </w:r>
      <w:r>
        <w:rPr>
          <w:rFonts w:hint="eastAsia" w:ascii="宋体" w:hAnsi="宋体" w:cs="宋体"/>
        </w:rPr>
        <w:t>绿色食品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农药使用准则</w:t>
      </w:r>
    </w:p>
    <w:p w14:paraId="5D4F0204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NY/T 394 </w:t>
      </w:r>
      <w:r>
        <w:rPr>
          <w:rFonts w:hint="eastAsia" w:ascii="宋体" w:hAnsi="宋体" w:cs="宋体"/>
        </w:rPr>
        <w:t>绿色食品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肥料使用准则</w:t>
      </w:r>
    </w:p>
    <w:p w14:paraId="297E3C69">
      <w:pPr>
        <w:pStyle w:val="24"/>
        <w:spacing w:line="380" w:lineRule="exact"/>
        <w:contextualSpacing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NY/T 658 绿色食品 包装通用准则</w:t>
      </w:r>
    </w:p>
    <w:p w14:paraId="03F03D58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NY/T 853 </w:t>
      </w:r>
      <w:r>
        <w:rPr>
          <w:rFonts w:hint="eastAsia" w:ascii="宋体" w:hAnsi="宋体" w:cs="宋体"/>
        </w:rPr>
        <w:t>茶叶产地环境技术条件</w:t>
      </w:r>
    </w:p>
    <w:p w14:paraId="497F060B">
      <w:pPr>
        <w:pStyle w:val="24"/>
        <w:spacing w:line="380" w:lineRule="exact"/>
        <w:contextualSpacing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NY/T 1056 绿色食品 储藏运输准则</w:t>
      </w:r>
    </w:p>
    <w:p w14:paraId="7E8F59FC">
      <w:pPr>
        <w:pStyle w:val="24"/>
        <w:spacing w:line="380" w:lineRule="exact"/>
        <w:contextualSpacing/>
        <w:rPr>
          <w:rFonts w:ascii="宋体" w:hAnsi="宋体" w:cs="宋体"/>
        </w:rPr>
      </w:pPr>
      <w:r>
        <w:rPr>
          <w:rFonts w:ascii="宋体" w:hAnsi="宋体" w:cs="宋体"/>
        </w:rPr>
        <w:t xml:space="preserve">NY/T 5197 </w:t>
      </w:r>
      <w:r>
        <w:rPr>
          <w:rFonts w:hint="eastAsia" w:ascii="宋体" w:hAnsi="宋体" w:cs="宋体"/>
        </w:rPr>
        <w:t>有机茶生产技术规程</w:t>
      </w:r>
    </w:p>
    <w:p w14:paraId="095EC9DD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>3</w:t>
      </w:r>
      <w:r>
        <w:rPr>
          <w:rFonts w:hint="eastAsia" w:ascii="黑体" w:hAnsi="黑体" w:eastAsia="黑体" w:cs="宋体"/>
        </w:rPr>
        <w:t xml:space="preserve"> 产地环境</w:t>
      </w:r>
    </w:p>
    <w:p w14:paraId="3861FBF9">
      <w:pPr>
        <w:pStyle w:val="24"/>
        <w:spacing w:line="380" w:lineRule="exact"/>
        <w:contextualSpacing/>
      </w:pPr>
      <w:r>
        <w:rPr>
          <w:rFonts w:hint="eastAsia" w:ascii="宋体" w:hAnsi="宋体" w:cs="宋体"/>
        </w:rPr>
        <w:t>茶园产地环境质量应符合NY/T 391的规定。</w:t>
      </w:r>
      <w:r>
        <w:rPr>
          <w:rFonts w:hint="eastAsia"/>
        </w:rPr>
        <w:t>茶园</w:t>
      </w:r>
      <w:r>
        <w:t>产地环境质量应符合NY/T 391的规定。</w:t>
      </w:r>
      <w:r>
        <w:rPr>
          <w:rFonts w:hint="eastAsia"/>
        </w:rPr>
        <w:t>绿色食品黑茶生产应</w:t>
      </w:r>
      <w:r>
        <w:t>选择生态环境良好、无污染的地区，远离工矿区、公路铁路干线和生活区。产地应距离公路、铁路、生活区50 m以上，距离工矿企业1 km以上，确保上风向和灌水上游无污染源。产地与常规生产区农田间设置缓冲隔离带，宽度8 m左右</w:t>
      </w:r>
      <w:r>
        <w:rPr>
          <w:rFonts w:hint="eastAsia"/>
        </w:rPr>
        <w:t>。</w:t>
      </w:r>
    </w:p>
    <w:p w14:paraId="257FE6C9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 xml:space="preserve">4 </w:t>
      </w:r>
      <w:r>
        <w:rPr>
          <w:rFonts w:hint="eastAsia" w:ascii="黑体" w:hAnsi="黑体" w:eastAsia="黑体" w:cs="宋体"/>
        </w:rPr>
        <w:t>茶园规划与建设</w:t>
      </w:r>
    </w:p>
    <w:p w14:paraId="06A75D2C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 xml:space="preserve">4.1 </w:t>
      </w:r>
      <w:r>
        <w:rPr>
          <w:rFonts w:hint="eastAsia" w:ascii="黑体" w:hAnsi="黑体" w:eastAsia="黑体" w:cs="宋体"/>
        </w:rPr>
        <w:t>茶园开垦</w:t>
      </w:r>
    </w:p>
    <w:p w14:paraId="348CC2EC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hint="eastAsia" w:ascii="宋体" w:hAnsi="宋体" w:cs="宋体"/>
        </w:rPr>
        <w:t>园区规划、道路和水利系统等建设应符合</w:t>
      </w:r>
      <w:r>
        <w:rPr>
          <w:rFonts w:ascii="宋体" w:hAnsi="宋体" w:cs="宋体"/>
        </w:rPr>
        <w:t>NY/T 5197</w:t>
      </w:r>
      <w:r>
        <w:rPr>
          <w:rFonts w:hint="eastAsia" w:ascii="宋体" w:hAnsi="宋体" w:cs="宋体"/>
        </w:rPr>
        <w:t>的规定。合理设置茶园道路网、排灌系统、行道树、防护林。坡度</w:t>
      </w:r>
      <w:r>
        <w:rPr>
          <w:rFonts w:ascii="宋体" w:hAnsi="宋体" w:cs="宋体"/>
        </w:rPr>
        <w:t>15</w:t>
      </w:r>
      <w:r>
        <w:rPr>
          <w:rFonts w:hint="eastAsia" w:ascii="宋体" w:hAnsi="宋体" w:cs="宋体"/>
        </w:rPr>
        <w:t>°以下的平缓坡地直接开垦，翻垦深度</w:t>
      </w:r>
      <w:r>
        <w:rPr>
          <w:rFonts w:ascii="宋体" w:hAnsi="宋体" w:cs="宋体"/>
        </w:rPr>
        <w:t>50cm</w:t>
      </w:r>
      <w:r>
        <w:rPr>
          <w:rFonts w:hint="eastAsia" w:ascii="宋体" w:hAnsi="宋体" w:cs="宋体"/>
        </w:rPr>
        <w:t>以上；坡度</w:t>
      </w:r>
      <w:r>
        <w:rPr>
          <w:rFonts w:ascii="宋体" w:hAnsi="宋体" w:cs="宋体"/>
        </w:rPr>
        <w:t>15</w:t>
      </w:r>
      <w:r>
        <w:rPr>
          <w:rFonts w:hint="eastAsia" w:ascii="宋体" w:hAnsi="宋体" w:cs="宋体"/>
        </w:rPr>
        <w:t>°以上</w:t>
      </w:r>
      <w:r>
        <w:rPr>
          <w:rFonts w:ascii="宋体" w:hAnsi="宋体" w:cs="宋体"/>
        </w:rPr>
        <w:t>25</w:t>
      </w:r>
      <w:r>
        <w:rPr>
          <w:rFonts w:hint="eastAsia" w:ascii="宋体" w:hAnsi="宋体" w:cs="宋体"/>
        </w:rPr>
        <w:t>°以下的坡地，按等高水平线筑梯地，梯面宽应在</w:t>
      </w:r>
      <w:r>
        <w:rPr>
          <w:rFonts w:ascii="宋体" w:hAnsi="宋体" w:cs="宋体"/>
        </w:rPr>
        <w:t>2m</w:t>
      </w:r>
      <w:r>
        <w:rPr>
          <w:rFonts w:hint="eastAsia" w:ascii="宋体" w:hAnsi="宋体" w:cs="宋体"/>
        </w:rPr>
        <w:t xml:space="preserve">以上。开垦时山项和山下部园地应保留一定的原有植被。 </w:t>
      </w:r>
    </w:p>
    <w:p w14:paraId="479E6C2F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 xml:space="preserve">4.2 </w:t>
      </w:r>
      <w:r>
        <w:rPr>
          <w:rFonts w:hint="eastAsia" w:ascii="黑体" w:hAnsi="黑体" w:eastAsia="黑体" w:cs="宋体"/>
        </w:rPr>
        <w:t>道路设置</w:t>
      </w:r>
    </w:p>
    <w:p w14:paraId="1731C701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hint="eastAsia" w:ascii="宋体" w:hAnsi="宋体" w:cs="宋体"/>
        </w:rPr>
        <w:t>道路设置应根据茶园规模确定。面积</w:t>
      </w:r>
      <w:r>
        <w:rPr>
          <w:rFonts w:ascii="宋体" w:hAnsi="宋体" w:cs="宋体"/>
        </w:rPr>
        <w:t>900</w:t>
      </w:r>
      <w:r>
        <w:rPr>
          <w:rFonts w:hint="eastAsia" w:ascii="宋体" w:hAnsi="宋体" w:cs="宋体"/>
        </w:rPr>
        <w:t>亩以下茶园可不设主干道。</w:t>
      </w:r>
      <w:r>
        <w:rPr>
          <w:rFonts w:ascii="宋体" w:hAnsi="宋体" w:cs="宋体"/>
        </w:rPr>
        <w:t>900</w:t>
      </w:r>
      <w:r>
        <w:rPr>
          <w:rFonts w:hint="eastAsia" w:ascii="宋体" w:hAnsi="宋体" w:cs="宋体"/>
        </w:rPr>
        <w:t>亩以上茶园主干道设置路宽</w:t>
      </w:r>
      <w:r>
        <w:rPr>
          <w:rFonts w:ascii="宋体" w:hAnsi="宋体" w:cs="宋体"/>
        </w:rPr>
        <w:t>8</w:t>
      </w:r>
      <w:r>
        <w:rPr>
          <w:rFonts w:hint="eastAsia" w:ascii="宋体" w:hAnsi="宋体" w:cs="宋体"/>
        </w:rPr>
        <w:t>m</w:t>
      </w:r>
      <w:r>
        <w:rPr>
          <w:rFonts w:hint="eastAsia" w:ascii="宋体" w:hAnsi="宋体" w:cs="宋体"/>
          <w:kern w:val="0"/>
        </w:rPr>
        <w:t>～</w:t>
      </w:r>
      <w:r>
        <w:rPr>
          <w:rFonts w:ascii="宋体" w:hAnsi="宋体" w:cs="宋体"/>
        </w:rPr>
        <w:t>9m</w:t>
      </w:r>
      <w:r>
        <w:rPr>
          <w:rFonts w:hint="eastAsia" w:ascii="宋体" w:hAnsi="宋体" w:cs="宋体"/>
        </w:rPr>
        <w:t>；步道与茶行垂直或成一定角度衔接，路宽</w:t>
      </w:r>
      <w:r>
        <w:rPr>
          <w:rFonts w:ascii="宋体" w:hAnsi="宋体" w:cs="宋体"/>
        </w:rPr>
        <w:t>1.5m</w:t>
      </w:r>
      <w:r>
        <w:rPr>
          <w:rFonts w:hint="eastAsia" w:ascii="宋体" w:hAnsi="宋体" w:cs="宋体"/>
        </w:rPr>
        <w:t>，以</w:t>
      </w:r>
      <w:r>
        <w:rPr>
          <w:rFonts w:ascii="宋体" w:hAnsi="宋体" w:cs="宋体"/>
        </w:rPr>
        <w:t>10</w:t>
      </w:r>
      <w:r>
        <w:rPr>
          <w:rFonts w:hint="eastAsia" w:ascii="宋体" w:hAnsi="宋体" w:cs="宋体"/>
        </w:rPr>
        <w:t>～</w:t>
      </w:r>
      <w:r>
        <w:rPr>
          <w:rFonts w:ascii="宋体" w:hAnsi="宋体" w:cs="宋体"/>
        </w:rPr>
        <w:t>15</w:t>
      </w:r>
      <w:r>
        <w:rPr>
          <w:rFonts w:hint="eastAsia" w:ascii="宋体" w:hAnsi="宋体" w:cs="宋体"/>
        </w:rPr>
        <w:t>行茶树设一条为宜；环园道设在茶园四周边缘，为茶园与农地分界。</w:t>
      </w:r>
    </w:p>
    <w:p w14:paraId="6817D864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 xml:space="preserve">4.3 </w:t>
      </w:r>
      <w:r>
        <w:rPr>
          <w:rFonts w:hint="eastAsia" w:ascii="黑体" w:hAnsi="黑体" w:eastAsia="黑体" w:cs="宋体"/>
        </w:rPr>
        <w:t>水利系统</w:t>
      </w:r>
    </w:p>
    <w:p w14:paraId="3507C469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hint="eastAsia" w:ascii="宋体" w:hAnsi="宋体" w:cs="宋体"/>
        </w:rPr>
        <w:t>茶园排灌系统设置时应统筹安排，合理设计，平地茶园以排水沟为主，坡地及梯地茶园以蓄水沟为主，做到遇涝能排，遇旱能灌，路路相连，沟渠相通。每30亩茶园附近修建一个积肥坑；生产者平时可将各种有机物料（如杂草、秸杆、畜粪、绿肥等）堆积于坑内，经堆制腐熟后、供茶园施用。</w:t>
      </w:r>
    </w:p>
    <w:p w14:paraId="66491D5B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>4.4</w:t>
      </w:r>
      <w:r>
        <w:rPr>
          <w:rFonts w:hint="eastAsia" w:ascii="黑体" w:hAnsi="黑体" w:eastAsia="黑体" w:cs="宋体"/>
        </w:rPr>
        <w:t>茶园生态建设</w:t>
      </w:r>
    </w:p>
    <w:p w14:paraId="355F97BE">
      <w:pPr>
        <w:pStyle w:val="24"/>
        <w:spacing w:line="380" w:lineRule="exact"/>
        <w:ind w:firstLine="0" w:firstLineChars="0"/>
        <w:contextualSpacing/>
        <w:rPr>
          <w:rFonts w:ascii="宋体" w:cs="宋体"/>
        </w:rPr>
      </w:pPr>
      <w:r>
        <w:rPr>
          <w:rFonts w:ascii="宋体" w:hAnsi="宋体" w:cs="宋体"/>
        </w:rPr>
        <w:t>4.4.1</w:t>
      </w:r>
      <w:r>
        <w:rPr>
          <w:rFonts w:hint="eastAsia" w:ascii="宋体" w:hAnsi="宋体" w:cs="宋体"/>
        </w:rPr>
        <w:t>　茶园的规划和建设应有利于保护和改善茶区生态环境，便于茶园的灌溉和机械作业。</w:t>
      </w:r>
    </w:p>
    <w:p w14:paraId="750213DA">
      <w:pPr>
        <w:pStyle w:val="24"/>
        <w:spacing w:line="380" w:lineRule="exact"/>
        <w:ind w:firstLine="0" w:firstLineChars="0"/>
        <w:contextualSpacing/>
        <w:rPr>
          <w:rFonts w:ascii="宋体" w:cs="宋体"/>
        </w:rPr>
      </w:pPr>
      <w:r>
        <w:rPr>
          <w:rFonts w:ascii="宋体" w:hAnsi="宋体" w:cs="宋体"/>
        </w:rPr>
        <w:t>4.4.2</w:t>
      </w:r>
      <w:r>
        <w:rPr>
          <w:rFonts w:hint="eastAsia" w:ascii="宋体" w:hAnsi="宋体" w:cs="宋体"/>
        </w:rPr>
        <w:t>　茶园周围原有的森林植被应加以保护。凡是不适合种茶的空地、陡坡地（≥</w:t>
      </w:r>
      <w:r>
        <w:rPr>
          <w:rFonts w:ascii="宋体" w:hAnsi="宋体" w:cs="宋体"/>
        </w:rPr>
        <w:t>25</w:t>
      </w:r>
      <w:r>
        <w:rPr>
          <w:rFonts w:hint="eastAsia" w:ascii="宋体" w:hAnsi="宋体" w:cs="宋体"/>
        </w:rPr>
        <w:t>°）应当植树造林，茶园的上风口应营造防护林，在茶园四周或茶园内不适合种茶的空地，道路、沟渠两边，陡坡和沟谷边水土易冲涮的地方种植绿化树，梯坎边种草。</w:t>
      </w:r>
    </w:p>
    <w:p w14:paraId="219B232B">
      <w:pPr>
        <w:pStyle w:val="24"/>
        <w:spacing w:line="380" w:lineRule="exact"/>
        <w:ind w:firstLine="0" w:firstLineChars="0"/>
        <w:contextualSpacing/>
        <w:rPr>
          <w:rFonts w:ascii="宋体" w:cs="宋体"/>
        </w:rPr>
      </w:pPr>
      <w:r>
        <w:rPr>
          <w:rFonts w:ascii="宋体" w:hAnsi="宋体" w:cs="宋体"/>
        </w:rPr>
        <w:t>4.4.3</w:t>
      </w:r>
      <w:r>
        <w:rPr>
          <w:rFonts w:hint="eastAsia" w:ascii="宋体" w:hAnsi="宋体" w:cs="宋体"/>
        </w:rPr>
        <w:t>　低海拔茶区集中连片的茶园应因地制宜四周种植防护树。</w:t>
      </w:r>
    </w:p>
    <w:p w14:paraId="68376E80">
      <w:pPr>
        <w:pStyle w:val="24"/>
        <w:spacing w:line="380" w:lineRule="exact"/>
        <w:ind w:firstLine="0" w:firstLineChars="0"/>
        <w:contextualSpacing/>
        <w:rPr>
          <w:rFonts w:ascii="宋体" w:cs="宋体"/>
        </w:rPr>
      </w:pPr>
      <w:r>
        <w:rPr>
          <w:rFonts w:ascii="宋体" w:hAnsi="宋体" w:cs="宋体"/>
        </w:rPr>
        <w:t xml:space="preserve">4.4.4  </w:t>
      </w:r>
      <w:r>
        <w:rPr>
          <w:rFonts w:hint="eastAsia" w:ascii="宋体" w:hAnsi="宋体" w:cs="宋体"/>
        </w:rPr>
        <w:t>防护林、遮荫树要选用常绿且与茶树无共同病虫害的经济和观赏树种为主。可种植蜜源植物等作为天敌补充营养来源。为了适应茶园机械化操作，绿化和防护林种植目标将茶园建设成以30亩为单元相对独立的区块。</w:t>
      </w:r>
    </w:p>
    <w:p w14:paraId="757C2F19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 xml:space="preserve">5 </w:t>
      </w:r>
      <w:r>
        <w:rPr>
          <w:rFonts w:hint="eastAsia" w:ascii="黑体" w:hAnsi="黑体" w:eastAsia="黑体" w:cs="宋体"/>
        </w:rPr>
        <w:t>品种及茶苗选择</w:t>
      </w:r>
    </w:p>
    <w:p w14:paraId="43C5030B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>5.1</w:t>
      </w:r>
      <w:r>
        <w:rPr>
          <w:rFonts w:hint="eastAsia" w:ascii="黑体" w:hAnsi="黑体" w:eastAsia="黑体" w:cs="宋体"/>
        </w:rPr>
        <w:t>选择原则</w:t>
      </w:r>
    </w:p>
    <w:p w14:paraId="264223A8">
      <w:pPr>
        <w:pStyle w:val="24"/>
        <w:spacing w:line="380" w:lineRule="exact"/>
        <w:contextualSpacing/>
        <w:rPr>
          <w:rFonts w:asci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绿色食品黑茶生产区域应种植适应当地气候和土壤条件，适合加工当地黑茶产品，抗性较强，适制性较广的高产优质茶树品种。</w:t>
      </w:r>
    </w:p>
    <w:p w14:paraId="131C13AE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  <w:highlight w:val="none"/>
        </w:rPr>
      </w:pPr>
      <w:r>
        <w:rPr>
          <w:rFonts w:ascii="黑体" w:hAnsi="黑体" w:eastAsia="黑体" w:cs="宋体"/>
          <w:highlight w:val="none"/>
        </w:rPr>
        <w:t>5.2</w:t>
      </w:r>
      <w:r>
        <w:rPr>
          <w:rFonts w:hint="eastAsia" w:ascii="黑体" w:hAnsi="黑体" w:eastAsia="黑体" w:cs="宋体"/>
          <w:highlight w:val="none"/>
        </w:rPr>
        <w:t>品种选择与搭配</w:t>
      </w:r>
    </w:p>
    <w:p w14:paraId="2A57B6C3">
      <w:pPr>
        <w:pStyle w:val="24"/>
        <w:spacing w:line="380" w:lineRule="exact"/>
        <w:contextualSpacing/>
        <w:rPr>
          <w:rFonts w:ascii="宋体" w:cs="宋体"/>
        </w:rPr>
      </w:pPr>
      <w:r>
        <w:rPr>
          <w:rFonts w:hint="eastAsia" w:ascii="宋体" w:hAnsi="宋体" w:cs="宋体"/>
        </w:rPr>
        <w:t>茶树品种质量应符合</w:t>
      </w:r>
      <w:r>
        <w:rPr>
          <w:rFonts w:ascii="宋体" w:hAnsi="宋体" w:cs="宋体"/>
        </w:rPr>
        <w:t>GB 11767</w:t>
      </w:r>
      <w:r>
        <w:rPr>
          <w:rFonts w:hint="eastAsia" w:ascii="宋体" w:hAnsi="宋体" w:cs="宋体"/>
        </w:rPr>
        <w:t>规定的要求，要求</w:t>
      </w:r>
      <w:r>
        <w:rPr>
          <w:rFonts w:hint="eastAsia" w:ascii="宋体" w:hAnsi="宋体" w:cs="宋体"/>
          <w:kern w:val="0"/>
        </w:rPr>
        <w:t>达到一、二级苗标准，且茶苗规格基本一致</w:t>
      </w:r>
      <w:r>
        <w:rPr>
          <w:rFonts w:hint="eastAsia" w:ascii="宋体" w:hAnsi="宋体" w:cs="宋体"/>
        </w:rPr>
        <w:t>并经植物检疫部门检疫合格。应选择适应性强，产量高、内含物含量高（高茶多酚含量）及低氟含量的优良茶树品种栽培（附录</w:t>
      </w:r>
      <w:r>
        <w:rPr>
          <w:rFonts w:ascii="宋体" w:hAnsi="宋体" w:cs="宋体"/>
        </w:rPr>
        <w:t>A</w:t>
      </w:r>
      <w:r>
        <w:rPr>
          <w:rFonts w:hint="eastAsia" w:ascii="宋体" w:hAnsi="宋体" w:cs="宋体"/>
        </w:rPr>
        <w:t>），实行早、中、晚品种合理搭配。</w:t>
      </w:r>
    </w:p>
    <w:p w14:paraId="30255987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6 </w:t>
      </w:r>
      <w:r>
        <w:rPr>
          <w:rFonts w:hint="eastAsia" w:ascii="黑体" w:eastAsia="黑体" w:cs="黑体"/>
          <w:kern w:val="0"/>
        </w:rPr>
        <w:t>茶树种植</w:t>
      </w:r>
    </w:p>
    <w:p w14:paraId="46C7F2E7">
      <w:pPr>
        <w:pStyle w:val="24"/>
        <w:spacing w:line="380" w:lineRule="exact"/>
        <w:ind w:firstLine="0" w:firstLineChars="0"/>
        <w:contextualSpacing/>
        <w:rPr>
          <w:rFonts w:ascii="黑体" w:hAnsi="黑体" w:eastAsia="黑体" w:cs="宋体"/>
        </w:rPr>
      </w:pPr>
      <w:r>
        <w:rPr>
          <w:rFonts w:ascii="黑体" w:hAnsi="黑体" w:eastAsia="黑体" w:cs="宋体"/>
        </w:rPr>
        <w:t xml:space="preserve">6.1 </w:t>
      </w:r>
      <w:r>
        <w:rPr>
          <w:rFonts w:hint="eastAsia" w:ascii="黑体" w:hAnsi="黑体" w:eastAsia="黑体" w:cs="宋体"/>
        </w:rPr>
        <w:t>定植时间</w:t>
      </w:r>
    </w:p>
    <w:p w14:paraId="1B65EE65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ascii="宋体" w:hAnsi="宋体" w:cs="TimesNewRomanPSMT"/>
          <w:kern w:val="0"/>
        </w:rPr>
        <w:t>10</w:t>
      </w:r>
      <w:r>
        <w:rPr>
          <w:rFonts w:hint="eastAsia" w:ascii="宋体" w:hAnsi="宋体" w:cs="宋体"/>
          <w:kern w:val="0"/>
        </w:rPr>
        <w:t>月下旬～</w:t>
      </w:r>
      <w:r>
        <w:rPr>
          <w:rFonts w:ascii="宋体" w:hAnsi="宋体" w:cs="TimesNewRomanPSMT"/>
          <w:kern w:val="0"/>
        </w:rPr>
        <w:t>12</w:t>
      </w:r>
      <w:r>
        <w:rPr>
          <w:rFonts w:hint="eastAsia" w:ascii="宋体" w:hAnsi="宋体" w:cs="宋体"/>
          <w:kern w:val="0"/>
        </w:rPr>
        <w:t>月上旬、</w:t>
      </w:r>
      <w:r>
        <w:rPr>
          <w:rFonts w:ascii="宋体" w:hAnsi="宋体" w:cs="TimesNewRomanPSMT"/>
          <w:kern w:val="0"/>
        </w:rPr>
        <w:t>1</w:t>
      </w:r>
      <w:r>
        <w:rPr>
          <w:rFonts w:hint="eastAsia" w:ascii="宋体" w:hAnsi="宋体" w:cs="宋体"/>
          <w:kern w:val="0"/>
        </w:rPr>
        <w:t>月中下旬～</w:t>
      </w:r>
      <w:r>
        <w:rPr>
          <w:rFonts w:ascii="宋体" w:hAnsi="宋体" w:cs="TimesNewRomanPSMT"/>
          <w:kern w:val="0"/>
        </w:rPr>
        <w:t>3</w:t>
      </w:r>
      <w:r>
        <w:rPr>
          <w:rFonts w:hint="eastAsia" w:ascii="宋体" w:hAnsi="宋体" w:cs="宋体"/>
          <w:kern w:val="0"/>
        </w:rPr>
        <w:t>月初为宜。</w:t>
      </w:r>
    </w:p>
    <w:p w14:paraId="5A977440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6.2 </w:t>
      </w:r>
      <w:r>
        <w:rPr>
          <w:rFonts w:hint="eastAsia" w:ascii="黑体" w:eastAsia="黑体" w:cs="黑体"/>
          <w:kern w:val="0"/>
        </w:rPr>
        <w:t>定植规格</w:t>
      </w:r>
    </w:p>
    <w:p w14:paraId="07719D94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6.2.1 </w:t>
      </w:r>
      <w:r>
        <w:rPr>
          <w:rFonts w:hint="eastAsia" w:ascii="黑体" w:eastAsia="黑体" w:cs="黑体"/>
          <w:kern w:val="0"/>
        </w:rPr>
        <w:t>单行条植</w:t>
      </w:r>
    </w:p>
    <w:p w14:paraId="7678D6C0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 xml:space="preserve">一般缓坡平地茶园和梯地茶园以单行条植为主， </w:t>
      </w:r>
      <w:r>
        <w:rPr>
          <w:rFonts w:hint="eastAsia" w:ascii="宋体" w:cs="宋体"/>
          <w:kern w:val="0"/>
        </w:rPr>
        <w:t>单行条列式，行距140cm～150cm，穴距30cm～35cm，每穴栽苗2株。</w:t>
      </w:r>
    </w:p>
    <w:p w14:paraId="6FD0B401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6.2.2 </w:t>
      </w:r>
      <w:r>
        <w:rPr>
          <w:rFonts w:hint="eastAsia" w:ascii="黑体" w:eastAsia="黑体" w:cs="黑体"/>
          <w:kern w:val="0"/>
        </w:rPr>
        <w:t>双行条植</w:t>
      </w:r>
    </w:p>
    <w:p w14:paraId="429E697D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双行条植，行距150cm，小行距（即条距）35cm，穴距30cm～35cm，每穴栽苗2株，两行茶株交替种植。</w:t>
      </w:r>
    </w:p>
    <w:p w14:paraId="25AFB0D8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6.3 </w:t>
      </w:r>
      <w:r>
        <w:rPr>
          <w:rFonts w:hint="eastAsia" w:ascii="黑体" w:eastAsia="黑体" w:cs="黑体"/>
          <w:kern w:val="0"/>
        </w:rPr>
        <w:t>定植要求</w:t>
      </w:r>
    </w:p>
    <w:p w14:paraId="0A83EE49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茶苗定植要尽量做到“五不栽”，即：地不平不栽，土不细不栽，土不湿不栽，病苗弱苗不栽，晴天烈日不栽。</w:t>
      </w:r>
    </w:p>
    <w:p w14:paraId="584C976B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6.4 </w:t>
      </w:r>
      <w:r>
        <w:rPr>
          <w:rFonts w:hint="eastAsia" w:ascii="黑体" w:eastAsia="黑体" w:cs="黑体"/>
          <w:kern w:val="0"/>
        </w:rPr>
        <w:t>定植方式</w:t>
      </w:r>
    </w:p>
    <w:p w14:paraId="3BFBCD2F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移栽时，先用黄泥浆蘸茶苗根部，分级把茶苗分放在穴中，一边分发一边种植。种植时要把茶根系舒展开，盖上细土，再用手将茶苗轻轻向上提，使茶苗根系自然舒展，并与土壤紧密相接，然后再覆土，覆土时将须根覆盖好后，将土压紧，使茶苗根系和湿土接触良好。及时浇足定根水，在茶株两边覆松土。移栽定植后最好及时 覆盖，防旱保苗。覆盖材料可用青草、稻草、秸杆、防草布等，每亩用量1000kg～1300kg。</w:t>
      </w:r>
    </w:p>
    <w:p w14:paraId="270A12E9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7 </w:t>
      </w:r>
      <w:r>
        <w:rPr>
          <w:rFonts w:hint="eastAsia" w:ascii="黑体" w:hAnsi="黑体" w:eastAsia="黑体" w:cs="宋体"/>
          <w:kern w:val="0"/>
        </w:rPr>
        <w:t>树冠管理</w:t>
      </w:r>
    </w:p>
    <w:p w14:paraId="4A1E5E86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7.1 </w:t>
      </w:r>
      <w:r>
        <w:rPr>
          <w:rFonts w:hint="eastAsia" w:ascii="黑体" w:eastAsia="黑体" w:cs="黑体"/>
          <w:kern w:val="0"/>
        </w:rPr>
        <w:t>定型修剪</w:t>
      </w:r>
    </w:p>
    <w:p w14:paraId="75FB3EA6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7.1.1 </w:t>
      </w:r>
      <w:r>
        <w:rPr>
          <w:rFonts w:hint="eastAsia" w:ascii="黑体" w:eastAsia="黑体" w:cs="黑体"/>
          <w:kern w:val="0"/>
        </w:rPr>
        <w:t>第一次定型修剪</w:t>
      </w:r>
    </w:p>
    <w:p w14:paraId="6D94541E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 xml:space="preserve"> 茶苗移植后及时进行第一次定型修剪，但必须达到以下要求：茎粗（离地表</w:t>
      </w:r>
      <w:r>
        <w:rPr>
          <w:rFonts w:ascii="宋体" w:hAnsi="宋体" w:cs="宋体"/>
          <w:kern w:val="0"/>
        </w:rPr>
        <w:t>5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处测量）超过</w:t>
      </w:r>
      <w:r>
        <w:rPr>
          <w:rFonts w:ascii="宋体" w:hAnsi="宋体" w:cs="宋体"/>
          <w:kern w:val="0"/>
        </w:rPr>
        <w:t>0.3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，苗高达到</w:t>
      </w:r>
      <w:r>
        <w:rPr>
          <w:rFonts w:ascii="宋体" w:hAnsi="宋体" w:cs="宋体"/>
          <w:kern w:val="0"/>
        </w:rPr>
        <w:t>30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，有</w:t>
      </w:r>
      <w:r>
        <w:rPr>
          <w:rFonts w:ascii="宋体" w:hAnsi="宋体" w:cs="宋体"/>
          <w:kern w:val="0"/>
        </w:rPr>
        <w:t>1</w:t>
      </w:r>
      <w:r>
        <w:rPr>
          <w:rFonts w:hint="eastAsia" w:ascii="宋体" w:hAnsi="宋体" w:cs="宋体"/>
          <w:kern w:val="0"/>
        </w:rPr>
        <w:t>～</w:t>
      </w:r>
      <w:r>
        <w:rPr>
          <w:rFonts w:ascii="宋体" w:hAnsi="宋体" w:cs="宋体"/>
          <w:kern w:val="0"/>
        </w:rPr>
        <w:t>2</w:t>
      </w:r>
      <w:r>
        <w:rPr>
          <w:rFonts w:hint="eastAsia" w:ascii="宋体" w:hAnsi="宋体" w:cs="宋体"/>
          <w:kern w:val="0"/>
        </w:rPr>
        <w:t>个分枝，</w:t>
      </w:r>
      <w:r>
        <w:rPr>
          <w:rFonts w:ascii="宋体" w:hAnsi="宋体" w:cs="宋体"/>
          <w:kern w:val="0"/>
        </w:rPr>
        <w:t>80%</w:t>
      </w:r>
      <w:r>
        <w:rPr>
          <w:rFonts w:hint="eastAsia" w:ascii="宋体" w:hAnsi="宋体" w:cs="宋体"/>
          <w:kern w:val="0"/>
        </w:rPr>
        <w:t>的茶苗达到以上标准。修剪方法：用整枝剪在离地面</w:t>
      </w:r>
      <w:r>
        <w:rPr>
          <w:rFonts w:ascii="宋体" w:hAnsi="宋体" w:cs="宋体"/>
          <w:kern w:val="0"/>
        </w:rPr>
        <w:t>15</w:t>
      </w:r>
      <w:r>
        <w:rPr>
          <w:rFonts w:hint="eastAsia" w:ascii="宋体" w:hAnsi="宋体" w:cs="宋体"/>
          <w:kern w:val="0"/>
        </w:rPr>
        <w:t>cm～</w:t>
      </w:r>
      <w:r>
        <w:rPr>
          <w:rFonts w:ascii="宋体" w:hAnsi="宋体" w:cs="宋体"/>
          <w:kern w:val="0"/>
        </w:rPr>
        <w:t>20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处剪去主枝，侧枝不剪。凡不符合第一次定型修剪标准的茶苗不剪，留待第二年达标后再剪。</w:t>
      </w:r>
    </w:p>
    <w:p w14:paraId="45CF7627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7.1.2 </w:t>
      </w:r>
      <w:r>
        <w:rPr>
          <w:rFonts w:hint="eastAsia" w:ascii="黑体" w:eastAsia="黑体" w:cs="黑体"/>
          <w:kern w:val="0"/>
        </w:rPr>
        <w:t>第二次定型修剪</w:t>
      </w:r>
    </w:p>
    <w:p w14:paraId="3A35FFBE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一般在第一次定型修剪的次年进行，当树高应达到</w:t>
      </w:r>
      <w:r>
        <w:rPr>
          <w:rFonts w:ascii="宋体" w:hAnsi="宋体" w:cs="宋体"/>
          <w:kern w:val="0"/>
        </w:rPr>
        <w:t>40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，剪口高度为离地</w:t>
      </w:r>
      <w:r>
        <w:rPr>
          <w:rFonts w:ascii="宋体" w:hAnsi="宋体" w:cs="宋体"/>
          <w:kern w:val="0"/>
        </w:rPr>
        <w:t>30</w:t>
      </w:r>
      <w:r>
        <w:rPr>
          <w:rFonts w:hint="eastAsia" w:ascii="宋体" w:hAnsi="宋体" w:cs="宋体"/>
          <w:kern w:val="0"/>
        </w:rPr>
        <w:t>cm～</w:t>
      </w:r>
      <w:r>
        <w:rPr>
          <w:rFonts w:ascii="宋体" w:hAnsi="宋体" w:cs="宋体"/>
          <w:kern w:val="0"/>
        </w:rPr>
        <w:t>40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，即在第一次定型修剪的基础上，提高</w:t>
      </w:r>
      <w:r>
        <w:rPr>
          <w:rFonts w:ascii="宋体" w:hAnsi="宋体" w:cs="宋体"/>
          <w:kern w:val="0"/>
        </w:rPr>
        <w:t>15</w:t>
      </w:r>
      <w:r>
        <w:rPr>
          <w:rFonts w:hint="eastAsia" w:ascii="宋体" w:hAnsi="宋体" w:cs="宋体"/>
          <w:kern w:val="0"/>
        </w:rPr>
        <w:t>cm～</w:t>
      </w:r>
      <w:r>
        <w:rPr>
          <w:rFonts w:ascii="宋体" w:hAnsi="宋体" w:cs="宋体"/>
          <w:kern w:val="0"/>
        </w:rPr>
        <w:t>20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。如茶苗高度不达标，适当推迟修剪时间。</w:t>
      </w:r>
    </w:p>
    <w:p w14:paraId="11DC5B81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7.1.3 </w:t>
      </w:r>
      <w:r>
        <w:rPr>
          <w:rFonts w:hint="eastAsia" w:ascii="黑体" w:eastAsia="黑体" w:cs="黑体"/>
          <w:kern w:val="0"/>
        </w:rPr>
        <w:t>第三次定型修剪</w:t>
      </w:r>
    </w:p>
    <w:p w14:paraId="45FBFF4D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在第二次修剪后一年时进行，修剪高度在上次剪口基础上提高</w:t>
      </w:r>
      <w:r>
        <w:rPr>
          <w:rFonts w:ascii="宋体" w:hAnsi="宋体" w:cs="宋体"/>
          <w:kern w:val="0"/>
        </w:rPr>
        <w:t>10</w:t>
      </w:r>
      <w:r>
        <w:rPr>
          <w:rFonts w:hint="eastAsia" w:ascii="宋体" w:hAnsi="宋体" w:cs="宋体"/>
          <w:kern w:val="0"/>
        </w:rPr>
        <w:t>cm～</w:t>
      </w:r>
      <w:r>
        <w:rPr>
          <w:rFonts w:ascii="宋体" w:hAnsi="宋体" w:cs="宋体"/>
          <w:kern w:val="0"/>
        </w:rPr>
        <w:t>15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。用篱剪或弧型修剪机剪成弧型树冠。茶树经三次定型修剪后，茶树高度一般在</w:t>
      </w:r>
      <w:r>
        <w:rPr>
          <w:rFonts w:ascii="宋体" w:hAnsi="宋体" w:cs="宋体"/>
          <w:kern w:val="0"/>
        </w:rPr>
        <w:t>45</w:t>
      </w:r>
      <w:r>
        <w:rPr>
          <w:rFonts w:hint="eastAsia" w:ascii="宋体" w:hAnsi="宋体" w:cs="宋体"/>
          <w:kern w:val="0"/>
        </w:rPr>
        <w:t>cm～</w:t>
      </w:r>
      <w:r>
        <w:rPr>
          <w:rFonts w:ascii="宋体" w:hAnsi="宋体" w:cs="宋体"/>
          <w:kern w:val="0"/>
        </w:rPr>
        <w:t>50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，树幅可达</w:t>
      </w:r>
      <w:r>
        <w:rPr>
          <w:rFonts w:ascii="宋体" w:hAnsi="宋体" w:cs="宋体"/>
          <w:kern w:val="0"/>
        </w:rPr>
        <w:t>70</w:t>
      </w:r>
      <w:r>
        <w:rPr>
          <w:rFonts w:hint="eastAsia" w:ascii="宋体" w:hAnsi="宋体" w:cs="宋体"/>
          <w:kern w:val="0"/>
        </w:rPr>
        <w:t>cm～</w:t>
      </w:r>
      <w:r>
        <w:rPr>
          <w:rFonts w:ascii="宋体" w:hAnsi="宋体" w:cs="宋体"/>
          <w:kern w:val="0"/>
        </w:rPr>
        <w:t>80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，就可以开始轻采留养了。</w:t>
      </w:r>
    </w:p>
    <w:p w14:paraId="26C5F015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7.2 </w:t>
      </w:r>
      <w:r>
        <w:rPr>
          <w:rFonts w:hint="eastAsia" w:ascii="黑体" w:eastAsia="黑体" w:cs="黑体"/>
          <w:kern w:val="0"/>
        </w:rPr>
        <w:t>轻修剪</w:t>
      </w:r>
    </w:p>
    <w:p w14:paraId="3917C292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轻修剪对象为成龄茶园。每年可进行</w:t>
      </w:r>
      <w:r>
        <w:rPr>
          <w:rFonts w:ascii="宋体" w:hAnsi="宋体" w:cs="宋体"/>
          <w:kern w:val="0"/>
        </w:rPr>
        <w:t>1</w:t>
      </w:r>
      <w:r>
        <w:rPr>
          <w:rFonts w:hint="eastAsia" w:ascii="宋体" w:hAnsi="宋体" w:cs="宋体"/>
          <w:kern w:val="0"/>
        </w:rPr>
        <w:t>～</w:t>
      </w:r>
      <w:r>
        <w:rPr>
          <w:rFonts w:ascii="宋体" w:hAnsi="宋体" w:cs="宋体"/>
          <w:kern w:val="0"/>
        </w:rPr>
        <w:t>2</w:t>
      </w:r>
      <w:r>
        <w:rPr>
          <w:rFonts w:hint="eastAsia" w:ascii="宋体" w:hAnsi="宋体" w:cs="宋体"/>
          <w:kern w:val="0"/>
        </w:rPr>
        <w:t>次，时间宜在春茶后</w:t>
      </w:r>
      <w:r>
        <w:rPr>
          <w:rFonts w:ascii="宋体" w:hAnsi="宋体" w:cs="宋体"/>
          <w:kern w:val="0"/>
        </w:rPr>
        <w:t>5</w:t>
      </w:r>
      <w:r>
        <w:rPr>
          <w:rFonts w:hint="eastAsia" w:ascii="宋体" w:hAnsi="宋体" w:cs="宋体"/>
          <w:kern w:val="0"/>
        </w:rPr>
        <w:t>月上中旬、秋末</w:t>
      </w:r>
      <w:r>
        <w:rPr>
          <w:rFonts w:ascii="宋体" w:hAnsi="宋体" w:cs="宋体"/>
          <w:kern w:val="0"/>
        </w:rPr>
        <w:t>10</w:t>
      </w:r>
      <w:r>
        <w:rPr>
          <w:rFonts w:hint="eastAsia" w:ascii="宋体" w:hAnsi="宋体" w:cs="宋体"/>
          <w:kern w:val="0"/>
        </w:rPr>
        <w:t>月下旬～</w:t>
      </w:r>
      <w:r>
        <w:rPr>
          <w:rFonts w:ascii="宋体" w:hAnsi="宋体" w:cs="宋体"/>
          <w:kern w:val="0"/>
        </w:rPr>
        <w:t>11</w:t>
      </w:r>
      <w:r>
        <w:rPr>
          <w:rFonts w:hint="eastAsia" w:ascii="宋体" w:hAnsi="宋体" w:cs="宋体"/>
          <w:kern w:val="0"/>
        </w:rPr>
        <w:t>月中旬进行，用篱剪或修剪机剪去树冠面</w:t>
      </w:r>
      <w:r>
        <w:rPr>
          <w:rFonts w:ascii="宋体" w:hAnsi="宋体" w:cs="宋体"/>
          <w:kern w:val="0"/>
        </w:rPr>
        <w:t>3</w:t>
      </w:r>
      <w:r>
        <w:rPr>
          <w:rFonts w:hint="eastAsia" w:ascii="宋体" w:hAnsi="宋体" w:cs="宋体"/>
          <w:kern w:val="0"/>
        </w:rPr>
        <w:t>cm～</w:t>
      </w:r>
      <w:r>
        <w:rPr>
          <w:rFonts w:ascii="宋体" w:hAnsi="宋体" w:cs="宋体"/>
          <w:kern w:val="0"/>
        </w:rPr>
        <w:t>5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的枝叶，把冠面突出枝、晚秋新梢剪除，适应茶树机采。</w:t>
      </w:r>
    </w:p>
    <w:p w14:paraId="54F9A783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7.3 </w:t>
      </w:r>
      <w:r>
        <w:rPr>
          <w:rFonts w:hint="eastAsia" w:ascii="黑体" w:eastAsia="黑体" w:cs="黑体"/>
          <w:kern w:val="0"/>
        </w:rPr>
        <w:t>重修剪</w:t>
      </w:r>
    </w:p>
    <w:p w14:paraId="56CFBFA2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用篱剪将衰老茶树地上部分的枝条剪去</w:t>
      </w:r>
      <w:r>
        <w:rPr>
          <w:rFonts w:ascii="宋体" w:hAnsi="宋体" w:cs="宋体"/>
          <w:kern w:val="0"/>
        </w:rPr>
        <w:t>1/2</w:t>
      </w:r>
      <w:r>
        <w:rPr>
          <w:rFonts w:hint="eastAsia" w:ascii="宋体" w:hAnsi="宋体" w:cs="宋体"/>
          <w:kern w:val="0"/>
        </w:rPr>
        <w:t>～</w:t>
      </w:r>
      <w:r>
        <w:rPr>
          <w:rFonts w:ascii="宋体" w:hAnsi="宋体" w:cs="宋体"/>
          <w:kern w:val="0"/>
        </w:rPr>
        <w:t>1/3</w:t>
      </w:r>
      <w:r>
        <w:rPr>
          <w:rFonts w:hint="eastAsia" w:ascii="宋体" w:hAnsi="宋体" w:cs="宋体"/>
          <w:kern w:val="0"/>
        </w:rPr>
        <w:t>，重新培育树冠，一般在早春或春茶后进行。</w:t>
      </w:r>
    </w:p>
    <w:p w14:paraId="40CAAA92">
      <w:pPr>
        <w:autoSpaceDE w:val="0"/>
        <w:autoSpaceDN w:val="0"/>
        <w:adjustRightInd w:val="0"/>
        <w:spacing w:line="380" w:lineRule="exact"/>
        <w:rPr>
          <w:rFonts w:ascii="黑体" w:eastAsia="黑体" w:cs="黑体"/>
          <w:kern w:val="0"/>
        </w:rPr>
      </w:pPr>
      <w:r>
        <w:rPr>
          <w:rFonts w:ascii="黑体" w:eastAsia="黑体" w:cs="黑体"/>
          <w:kern w:val="0"/>
        </w:rPr>
        <w:t xml:space="preserve">7.4 </w:t>
      </w:r>
      <w:r>
        <w:rPr>
          <w:rFonts w:hint="eastAsia" w:ascii="黑体" w:eastAsia="黑体" w:cs="黑体"/>
          <w:kern w:val="0"/>
        </w:rPr>
        <w:t>台刈</w:t>
      </w:r>
    </w:p>
    <w:p w14:paraId="102E9CB3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用</w:t>
      </w:r>
      <w:bookmarkStart w:id="0" w:name="OLE_LINK29"/>
      <w:bookmarkStart w:id="1" w:name="OLE_LINK30"/>
      <w:r>
        <w:rPr>
          <w:rFonts w:hint="eastAsia" w:ascii="宋体" w:hAnsi="宋体" w:cs="宋体"/>
          <w:kern w:val="0"/>
        </w:rPr>
        <w:t>台刈</w:t>
      </w:r>
      <w:bookmarkEnd w:id="0"/>
      <w:bookmarkEnd w:id="1"/>
      <w:r>
        <w:rPr>
          <w:rFonts w:hint="eastAsia" w:ascii="宋体" w:hAnsi="宋体" w:cs="宋体"/>
          <w:kern w:val="0"/>
        </w:rPr>
        <w:t>铗或锋利柴刀将衰老茶树地上部分枝条在离地</w:t>
      </w:r>
      <w:r>
        <w:rPr>
          <w:rFonts w:ascii="宋体" w:hAnsi="宋体" w:cs="宋体"/>
          <w:kern w:val="0"/>
        </w:rPr>
        <w:t>10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  <w:kern w:val="0"/>
        </w:rPr>
        <w:t>左右处全部刈去，重新全面塑造树冠。一般在早春或春茶后进行。台刈后按定型修剪管理。</w:t>
      </w:r>
    </w:p>
    <w:p w14:paraId="211E253D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8  </w:t>
      </w:r>
      <w:r>
        <w:rPr>
          <w:rFonts w:hint="eastAsia" w:ascii="黑体" w:hAnsi="黑体" w:eastAsia="黑体" w:cs="宋体"/>
          <w:kern w:val="0"/>
        </w:rPr>
        <w:t>土壤管理与施肥</w:t>
      </w:r>
    </w:p>
    <w:p w14:paraId="64A7B192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8.1 </w:t>
      </w:r>
      <w:r>
        <w:rPr>
          <w:rFonts w:hint="eastAsia" w:ascii="黑体" w:hAnsi="黑体" w:eastAsia="黑体" w:cs="宋体"/>
          <w:kern w:val="0"/>
        </w:rPr>
        <w:t>土壤覆盖</w:t>
      </w:r>
    </w:p>
    <w:p w14:paraId="3B7E700E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高温、干旱和寒冷季节到来前的夏初和秋末，在茶树行间用未受有毒、有害物质污染的嫩草、稻草或秸杆等覆盖。除草后留下的杂草、茶树修剪枝叶应返回茶园。</w:t>
      </w:r>
    </w:p>
    <w:p w14:paraId="32CB77D3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8.2</w:t>
      </w:r>
      <w:r>
        <w:rPr>
          <w:rFonts w:hint="eastAsia" w:ascii="黑体" w:hAnsi="黑体" w:eastAsia="黑体" w:cs="宋体"/>
          <w:kern w:val="0"/>
        </w:rPr>
        <w:t>　绿肥种植</w:t>
      </w:r>
    </w:p>
    <w:p w14:paraId="00ECF5A3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8.2.</w:t>
      </w:r>
      <w:r>
        <w:rPr>
          <w:rFonts w:hint="eastAsia" w:ascii="黑体" w:hAnsi="黑体" w:eastAsia="黑体" w:cs="宋体"/>
          <w:kern w:val="0"/>
        </w:rPr>
        <w:t>1 绿肥品种及播种时间</w:t>
      </w:r>
    </w:p>
    <w:p w14:paraId="5DFF7388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幼龄、重修剪、台刈茶园应间种绿肥，成龄茶园应利用空隙地种植绿肥。应选择合适的绿肥品种进行间种，夏季绿肥选择于春茶采摘后种植，冬季绿肥宜在基肥施用后种植。不同绿肥品种适宜种植时间见表</w:t>
      </w:r>
      <w:r>
        <w:rPr>
          <w:rFonts w:ascii="宋体" w:hAnsi="宋体" w:cs="宋体"/>
          <w:kern w:val="0"/>
        </w:rPr>
        <w:t>1</w:t>
      </w:r>
      <w:r>
        <w:rPr>
          <w:rFonts w:hint="eastAsia" w:ascii="宋体" w:hAnsi="宋体" w:cs="宋体"/>
          <w:kern w:val="0"/>
        </w:rPr>
        <w:t>。</w:t>
      </w:r>
    </w:p>
    <w:p w14:paraId="006F0A37">
      <w:pPr>
        <w:autoSpaceDE w:val="0"/>
        <w:autoSpaceDN w:val="0"/>
        <w:adjustRightInd w:val="0"/>
        <w:spacing w:line="520" w:lineRule="exact"/>
        <w:ind w:firstLine="2310" w:firstLineChars="1100"/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表</w:t>
      </w:r>
      <w:r>
        <w:rPr>
          <w:rFonts w:ascii="黑体" w:hAnsi="黑体" w:eastAsia="黑体" w:cs="宋体"/>
          <w:kern w:val="0"/>
        </w:rPr>
        <w:t>1</w:t>
      </w:r>
      <w:r>
        <w:rPr>
          <w:rFonts w:hint="eastAsia" w:ascii="黑体" w:hAnsi="黑体" w:eastAsia="黑体" w:cs="宋体"/>
          <w:kern w:val="0"/>
        </w:rPr>
        <w:t>　适宜黑茶茶园种植的绿肥品种</w:t>
      </w:r>
    </w:p>
    <w:tbl>
      <w:tblPr>
        <w:tblStyle w:val="1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321"/>
        <w:gridCol w:w="1671"/>
        <w:gridCol w:w="2540"/>
      </w:tblGrid>
      <w:tr w14:paraId="7670D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0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1C214EF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夏季绿肥</w:t>
            </w:r>
          </w:p>
        </w:tc>
        <w:tc>
          <w:tcPr>
            <w:tcW w:w="2321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32E34E7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种植时间</w:t>
            </w:r>
          </w:p>
        </w:tc>
        <w:tc>
          <w:tcPr>
            <w:tcW w:w="1671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5754149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冬季绿肥</w:t>
            </w:r>
          </w:p>
        </w:tc>
        <w:tc>
          <w:tcPr>
            <w:tcW w:w="2540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55337AC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种植时间</w:t>
            </w:r>
          </w:p>
        </w:tc>
      </w:tr>
      <w:tr w14:paraId="2292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0" w:type="dxa"/>
            <w:tcBorders>
              <w:top w:val="single" w:color="auto" w:sz="2" w:space="0"/>
            </w:tcBorders>
            <w:vAlign w:val="center"/>
          </w:tcPr>
          <w:p w14:paraId="3AA8AA2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茶肥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2321" w:type="dxa"/>
            <w:tcBorders>
              <w:top w:val="single" w:color="auto" w:sz="2" w:space="0"/>
            </w:tcBorders>
            <w:vAlign w:val="center"/>
          </w:tcPr>
          <w:p w14:paraId="7BFA58E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月下旬至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月中旬</w:t>
            </w:r>
          </w:p>
        </w:tc>
        <w:tc>
          <w:tcPr>
            <w:tcW w:w="1671" w:type="dxa"/>
            <w:tcBorders>
              <w:top w:val="single" w:color="auto" w:sz="2" w:space="0"/>
            </w:tcBorders>
            <w:vAlign w:val="center"/>
          </w:tcPr>
          <w:p w14:paraId="67DD165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毛叶苕子</w:t>
            </w:r>
          </w:p>
        </w:tc>
        <w:tc>
          <w:tcPr>
            <w:tcW w:w="2540" w:type="dxa"/>
            <w:tcBorders>
              <w:top w:val="single" w:color="auto" w:sz="2" w:space="0"/>
            </w:tcBorders>
            <w:vAlign w:val="center"/>
          </w:tcPr>
          <w:p w14:paraId="61A36D5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月中、下旬</w:t>
            </w:r>
          </w:p>
        </w:tc>
      </w:tr>
      <w:tr w14:paraId="1E079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0" w:type="dxa"/>
            <w:vAlign w:val="center"/>
          </w:tcPr>
          <w:p w14:paraId="7C09BCC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圆叶决明</w:t>
            </w:r>
          </w:p>
        </w:tc>
        <w:tc>
          <w:tcPr>
            <w:tcW w:w="2321" w:type="dxa"/>
            <w:vAlign w:val="center"/>
          </w:tcPr>
          <w:p w14:paraId="519F8DA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月上、中旬</w:t>
            </w:r>
          </w:p>
        </w:tc>
        <w:tc>
          <w:tcPr>
            <w:tcW w:w="1671" w:type="dxa"/>
            <w:vAlign w:val="center"/>
          </w:tcPr>
          <w:p w14:paraId="2CE01E1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光叶苕子</w:t>
            </w:r>
          </w:p>
        </w:tc>
        <w:tc>
          <w:tcPr>
            <w:tcW w:w="2540" w:type="dxa"/>
            <w:vAlign w:val="center"/>
          </w:tcPr>
          <w:p w14:paraId="4213E13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月中、下旬</w:t>
            </w:r>
          </w:p>
        </w:tc>
      </w:tr>
      <w:tr w14:paraId="37207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0" w:type="dxa"/>
            <w:vAlign w:val="center"/>
          </w:tcPr>
          <w:p w14:paraId="3736309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乌豇豆</w:t>
            </w:r>
          </w:p>
        </w:tc>
        <w:tc>
          <w:tcPr>
            <w:tcW w:w="2321" w:type="dxa"/>
            <w:vAlign w:val="center"/>
          </w:tcPr>
          <w:p w14:paraId="6D3CF09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月下旬至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月上旬</w:t>
            </w:r>
          </w:p>
        </w:tc>
        <w:tc>
          <w:tcPr>
            <w:tcW w:w="1671" w:type="dxa"/>
            <w:vAlign w:val="center"/>
          </w:tcPr>
          <w:p w14:paraId="52B88A8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满园花</w:t>
            </w:r>
          </w:p>
        </w:tc>
        <w:tc>
          <w:tcPr>
            <w:tcW w:w="2540" w:type="dxa"/>
            <w:vAlign w:val="center"/>
          </w:tcPr>
          <w:p w14:paraId="63A8DD7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月中、下旬</w:t>
            </w:r>
          </w:p>
        </w:tc>
      </w:tr>
      <w:tr w14:paraId="4F7E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0" w:type="dxa"/>
            <w:vAlign w:val="center"/>
          </w:tcPr>
          <w:p w14:paraId="69183A0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印度豇豆</w:t>
            </w:r>
          </w:p>
        </w:tc>
        <w:tc>
          <w:tcPr>
            <w:tcW w:w="2321" w:type="dxa"/>
            <w:vAlign w:val="center"/>
          </w:tcPr>
          <w:p w14:paraId="5D57262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月中旬</w:t>
            </w:r>
          </w:p>
        </w:tc>
        <w:tc>
          <w:tcPr>
            <w:tcW w:w="1671" w:type="dxa"/>
            <w:vAlign w:val="center"/>
          </w:tcPr>
          <w:p w14:paraId="7F8CA0D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紫云英</w:t>
            </w:r>
          </w:p>
        </w:tc>
        <w:tc>
          <w:tcPr>
            <w:tcW w:w="2540" w:type="dxa"/>
            <w:vAlign w:val="center"/>
          </w:tcPr>
          <w:p w14:paraId="3A67682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月中、下旬</w:t>
            </w:r>
          </w:p>
        </w:tc>
      </w:tr>
      <w:tr w14:paraId="5593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0" w:type="dxa"/>
            <w:vAlign w:val="center"/>
          </w:tcPr>
          <w:p w14:paraId="34E6013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大叶猪屎豆</w:t>
            </w:r>
          </w:p>
        </w:tc>
        <w:tc>
          <w:tcPr>
            <w:tcW w:w="2321" w:type="dxa"/>
            <w:vAlign w:val="center"/>
          </w:tcPr>
          <w:p w14:paraId="69A0D90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月上、中旬</w:t>
            </w:r>
          </w:p>
        </w:tc>
        <w:tc>
          <w:tcPr>
            <w:tcW w:w="1671" w:type="dxa"/>
            <w:vAlign w:val="center"/>
          </w:tcPr>
          <w:p w14:paraId="4C29F50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黄花苜蓿</w:t>
            </w:r>
          </w:p>
        </w:tc>
        <w:tc>
          <w:tcPr>
            <w:tcW w:w="2540" w:type="dxa"/>
            <w:vAlign w:val="center"/>
          </w:tcPr>
          <w:p w14:paraId="0E9BFA6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月上旬</w:t>
            </w:r>
          </w:p>
        </w:tc>
      </w:tr>
      <w:tr w14:paraId="56427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0" w:type="dxa"/>
            <w:vAlign w:val="center"/>
          </w:tcPr>
          <w:p w14:paraId="4744C46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饭豆</w:t>
            </w:r>
          </w:p>
        </w:tc>
        <w:tc>
          <w:tcPr>
            <w:tcW w:w="2321" w:type="dxa"/>
            <w:vAlign w:val="center"/>
          </w:tcPr>
          <w:p w14:paraId="3A94ED1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月下旬至五月上旬</w:t>
            </w:r>
          </w:p>
        </w:tc>
        <w:tc>
          <w:tcPr>
            <w:tcW w:w="1671" w:type="dxa"/>
            <w:vAlign w:val="center"/>
          </w:tcPr>
          <w:p w14:paraId="2B2E12F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黑麦草</w:t>
            </w:r>
          </w:p>
        </w:tc>
        <w:tc>
          <w:tcPr>
            <w:tcW w:w="2540" w:type="dxa"/>
            <w:vAlign w:val="center"/>
          </w:tcPr>
          <w:p w14:paraId="0473508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月下旬</w:t>
            </w:r>
          </w:p>
        </w:tc>
      </w:tr>
      <w:tr w14:paraId="751DF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0" w:type="dxa"/>
            <w:tcBorders>
              <w:bottom w:val="single" w:color="auto" w:sz="12" w:space="0"/>
            </w:tcBorders>
            <w:vAlign w:val="center"/>
          </w:tcPr>
          <w:p w14:paraId="4F08A00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田菁</w:t>
            </w:r>
          </w:p>
        </w:tc>
        <w:tc>
          <w:tcPr>
            <w:tcW w:w="2321" w:type="dxa"/>
            <w:tcBorders>
              <w:bottom w:val="single" w:color="auto" w:sz="12" w:space="0"/>
            </w:tcBorders>
            <w:vAlign w:val="center"/>
          </w:tcPr>
          <w:p w14:paraId="0885B3C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月下旬至五月中旬</w:t>
            </w:r>
          </w:p>
        </w:tc>
        <w:tc>
          <w:tcPr>
            <w:tcW w:w="1671" w:type="dxa"/>
            <w:tcBorders>
              <w:bottom w:val="single" w:color="auto" w:sz="12" w:space="0"/>
            </w:tcBorders>
            <w:vAlign w:val="center"/>
          </w:tcPr>
          <w:p w14:paraId="3BCF75C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箭筈豌豆</w:t>
            </w:r>
          </w:p>
        </w:tc>
        <w:tc>
          <w:tcPr>
            <w:tcW w:w="2540" w:type="dxa"/>
            <w:tcBorders>
              <w:bottom w:val="single" w:color="auto" w:sz="12" w:space="0"/>
            </w:tcBorders>
            <w:vAlign w:val="center"/>
          </w:tcPr>
          <w:p w14:paraId="7C6E2B1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月中、下旬</w:t>
            </w:r>
          </w:p>
        </w:tc>
      </w:tr>
    </w:tbl>
    <w:p w14:paraId="147650C3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8.2.</w:t>
      </w:r>
      <w:r>
        <w:rPr>
          <w:rFonts w:hint="eastAsia" w:ascii="黑体" w:hAnsi="黑体" w:eastAsia="黑体" w:cs="宋体"/>
          <w:kern w:val="0"/>
        </w:rPr>
        <w:t>2 绿肥收割及覆盖</w:t>
      </w:r>
    </w:p>
    <w:p w14:paraId="211A8F74">
      <w:pPr>
        <w:autoSpaceDE w:val="0"/>
        <w:autoSpaceDN w:val="0"/>
        <w:adjustRightInd w:val="0"/>
        <w:spacing w:line="380" w:lineRule="exact"/>
        <w:ind w:firstLine="420" w:firstLineChars="200"/>
        <w:rPr>
          <w:rStyle w:val="14"/>
          <w:rFonts w:ascii="宋体" w:cs="Arial"/>
          <w:color w:val="auto"/>
        </w:rPr>
      </w:pPr>
      <w:r>
        <w:rPr>
          <w:rStyle w:val="14"/>
          <w:rFonts w:hint="eastAsia" w:ascii="宋体" w:hAnsi="宋体" w:cs="Arial"/>
          <w:color w:val="auto"/>
        </w:rPr>
        <w:t>结合茶园耕作措施进行割青，其割青标准以绿肥生长不影响茶树生长为前提，其割青物在茶行覆盖或翻埋。</w:t>
      </w:r>
    </w:p>
    <w:p w14:paraId="28CB22F9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8.3 </w:t>
      </w:r>
      <w:r>
        <w:rPr>
          <w:rFonts w:hint="eastAsia" w:ascii="黑体" w:hAnsi="黑体" w:eastAsia="黑体" w:cs="宋体"/>
          <w:kern w:val="0"/>
        </w:rPr>
        <w:t>土壤</w:t>
      </w:r>
      <w:r>
        <w:rPr>
          <w:rFonts w:ascii="黑体" w:hAnsi="黑体" w:eastAsia="黑体" w:cs="宋体"/>
          <w:kern w:val="0"/>
        </w:rPr>
        <w:t>pH</w:t>
      </w:r>
      <w:r>
        <w:rPr>
          <w:rFonts w:hint="eastAsia" w:ascii="黑体" w:hAnsi="黑体" w:eastAsia="黑体" w:cs="宋体"/>
          <w:kern w:val="0"/>
        </w:rPr>
        <w:t>调节</w:t>
      </w:r>
    </w:p>
    <w:p w14:paraId="3E690DAB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防止土壤酸化，通过多施有机肥，减少无机肥料使用可防止土壤的酸化。</w:t>
      </w:r>
      <w:r>
        <w:rPr>
          <w:rFonts w:hint="eastAsia" w:ascii="宋体" w:hAnsi="宋体" w:cs="宋体"/>
          <w:kern w:val="0"/>
        </w:rPr>
        <w:t>土壤</w:t>
      </w:r>
      <w:r>
        <w:rPr>
          <w:rFonts w:ascii="宋体" w:hAnsi="宋体" w:cs="宋体"/>
          <w:kern w:val="0"/>
        </w:rPr>
        <w:t>pH</w:t>
      </w:r>
      <w:r>
        <w:rPr>
          <w:rFonts w:hint="eastAsia" w:ascii="宋体" w:hAnsi="宋体" w:cs="宋体"/>
          <w:kern w:val="0"/>
        </w:rPr>
        <w:t>低于</w:t>
      </w:r>
      <w:r>
        <w:rPr>
          <w:rFonts w:ascii="宋体" w:hAnsi="宋体" w:cs="宋体"/>
          <w:kern w:val="0"/>
        </w:rPr>
        <w:t>4.0</w:t>
      </w:r>
      <w:r>
        <w:rPr>
          <w:rFonts w:hint="eastAsia" w:ascii="宋体" w:hAnsi="宋体" w:cs="宋体"/>
          <w:kern w:val="0"/>
        </w:rPr>
        <w:t>的茶园，宜施用白云石粉、石灰等物质调节土壤</w:t>
      </w:r>
      <w:r>
        <w:rPr>
          <w:rFonts w:ascii="宋体" w:hAnsi="宋体" w:cs="宋体"/>
          <w:kern w:val="0"/>
        </w:rPr>
        <w:t>pH</w:t>
      </w:r>
      <w:r>
        <w:rPr>
          <w:rFonts w:hint="eastAsia" w:ascii="宋体" w:hAnsi="宋体" w:cs="宋体"/>
          <w:kern w:val="0"/>
        </w:rPr>
        <w:t>至</w:t>
      </w:r>
      <w:r>
        <w:rPr>
          <w:rFonts w:ascii="宋体" w:hAnsi="宋体" w:cs="宋体"/>
          <w:kern w:val="0"/>
        </w:rPr>
        <w:t>4.5</w:t>
      </w:r>
      <w:r>
        <w:rPr>
          <w:rFonts w:hint="eastAsia" w:ascii="宋体" w:hAnsi="宋体" w:cs="宋体"/>
          <w:kern w:val="0"/>
        </w:rPr>
        <w:t>。土壤</w:t>
      </w:r>
      <w:r>
        <w:rPr>
          <w:rFonts w:ascii="宋体" w:hAnsi="宋体" w:cs="宋体"/>
          <w:kern w:val="0"/>
        </w:rPr>
        <w:t>pH</w:t>
      </w:r>
      <w:r>
        <w:rPr>
          <w:rFonts w:hint="eastAsia" w:ascii="宋体" w:hAnsi="宋体" w:cs="宋体"/>
          <w:kern w:val="0"/>
        </w:rPr>
        <w:t>高于</w:t>
      </w:r>
      <w:r>
        <w:rPr>
          <w:rFonts w:ascii="宋体" w:hAnsi="宋体" w:cs="宋体"/>
          <w:kern w:val="0"/>
        </w:rPr>
        <w:t>6.5</w:t>
      </w:r>
      <w:r>
        <w:rPr>
          <w:rFonts w:hint="eastAsia" w:ascii="宋体" w:hAnsi="宋体" w:cs="宋体"/>
          <w:kern w:val="0"/>
        </w:rPr>
        <w:t>的茶园应多选用生理酸性肥料调节土壤</w:t>
      </w:r>
      <w:r>
        <w:rPr>
          <w:rFonts w:ascii="宋体" w:hAnsi="宋体" w:cs="宋体"/>
          <w:kern w:val="0"/>
        </w:rPr>
        <w:t>pH</w:t>
      </w:r>
      <w:r>
        <w:rPr>
          <w:rFonts w:hint="eastAsia" w:ascii="宋体" w:hAnsi="宋体" w:cs="宋体"/>
          <w:kern w:val="0"/>
        </w:rPr>
        <w:t>至适宜的范围。</w:t>
      </w:r>
      <w:r>
        <w:rPr>
          <w:rFonts w:hint="eastAsia" w:ascii="宋体" w:hAnsi="宋体"/>
        </w:rPr>
        <w:t>合理施用石灰降低茶树氟吸收。</w:t>
      </w:r>
    </w:p>
    <w:p w14:paraId="299DA17F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8.4</w:t>
      </w:r>
      <w:r>
        <w:rPr>
          <w:rFonts w:hint="eastAsia" w:ascii="黑体" w:hAnsi="黑体" w:eastAsia="黑体" w:cs="宋体"/>
          <w:kern w:val="0"/>
        </w:rPr>
        <w:t>　土壤耕作</w:t>
      </w:r>
    </w:p>
    <w:p w14:paraId="64BABBF0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8.4.1</w:t>
      </w:r>
      <w:r>
        <w:rPr>
          <w:rFonts w:hint="eastAsia" w:ascii="黑体" w:hAnsi="黑体" w:eastAsia="黑体" w:cs="宋体"/>
          <w:kern w:val="0"/>
        </w:rPr>
        <w:t>深耕翻土</w:t>
      </w:r>
    </w:p>
    <w:p w14:paraId="0B18DB0D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 w:hAnsi="宋体" w:cs="宋体"/>
          <w:kern w:val="0"/>
        </w:rPr>
        <w:t>采用合理耕作改良土壤结构；茶园</w:t>
      </w:r>
      <w:r>
        <w:rPr>
          <w:rFonts w:hint="eastAsia" w:ascii="宋体" w:hAnsi="宋体"/>
        </w:rPr>
        <w:t>深翻每年或隔年一次，在</w:t>
      </w:r>
      <w:r>
        <w:rPr>
          <w:rFonts w:ascii="宋体" w:hAnsi="宋体"/>
        </w:rPr>
        <w:t>9</w:t>
      </w:r>
      <w:r>
        <w:rPr>
          <w:rFonts w:hint="eastAsia" w:ascii="宋体" w:hAnsi="宋体"/>
        </w:rPr>
        <w:t>月底～</w:t>
      </w:r>
      <w:r>
        <w:rPr>
          <w:rFonts w:ascii="宋体" w:hAnsi="宋体"/>
        </w:rPr>
        <w:t>11</w:t>
      </w:r>
      <w:r>
        <w:rPr>
          <w:rFonts w:hint="eastAsia" w:ascii="宋体" w:hAnsi="宋体"/>
        </w:rPr>
        <w:t>月秋茶结束后进行，翻耕深度为</w:t>
      </w:r>
      <w:r>
        <w:rPr>
          <w:rFonts w:ascii="宋体" w:hAnsi="宋体"/>
        </w:rPr>
        <w:t>20cm</w:t>
      </w:r>
      <w:r>
        <w:rPr>
          <w:rFonts w:hint="eastAsia" w:ascii="宋体" w:hAnsi="宋体"/>
        </w:rPr>
        <w:t>～</w:t>
      </w:r>
      <w:r>
        <w:rPr>
          <w:rFonts w:ascii="宋体" w:hAnsi="宋体"/>
        </w:rPr>
        <w:t>30cm</w:t>
      </w:r>
      <w:r>
        <w:rPr>
          <w:rFonts w:hint="eastAsia" w:ascii="宋体" w:hAnsi="宋体"/>
        </w:rPr>
        <w:t>。</w:t>
      </w:r>
    </w:p>
    <w:p w14:paraId="63F8E03E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8.4.2 </w:t>
      </w:r>
      <w:r>
        <w:rPr>
          <w:rFonts w:hint="eastAsia" w:ascii="黑体" w:hAnsi="黑体" w:eastAsia="黑体" w:cs="宋体"/>
          <w:kern w:val="0"/>
        </w:rPr>
        <w:t>浅耕除草</w:t>
      </w:r>
    </w:p>
    <w:p w14:paraId="541A3ADA">
      <w:pPr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/>
        </w:rPr>
        <w:t>在春茶前（</w:t>
      </w:r>
      <w:r>
        <w:rPr>
          <w:rFonts w:ascii="宋体" w:hAnsi="宋体"/>
        </w:rPr>
        <w:t xml:space="preserve">2 </w:t>
      </w:r>
      <w:r>
        <w:rPr>
          <w:rFonts w:hint="eastAsia" w:ascii="宋体" w:hAnsi="宋体"/>
        </w:rPr>
        <w:t>月下旬～</w:t>
      </w:r>
      <w:r>
        <w:rPr>
          <w:rFonts w:ascii="宋体" w:hAnsi="宋体"/>
        </w:rPr>
        <w:t xml:space="preserve">3 </w:t>
      </w:r>
      <w:r>
        <w:rPr>
          <w:rFonts w:hint="eastAsia" w:ascii="宋体" w:hAnsi="宋体"/>
        </w:rPr>
        <w:t>月上旬）、夏茶前（</w:t>
      </w:r>
      <w:r>
        <w:rPr>
          <w:rFonts w:ascii="宋体" w:hAnsi="宋体"/>
        </w:rPr>
        <w:t xml:space="preserve">5 </w:t>
      </w:r>
      <w:r>
        <w:rPr>
          <w:rFonts w:hint="eastAsia" w:ascii="宋体" w:hAnsi="宋体"/>
        </w:rPr>
        <w:t>月下旬）和夏秋季（</w:t>
      </w:r>
      <w:r>
        <w:rPr>
          <w:rFonts w:ascii="宋体" w:hAnsi="宋体"/>
        </w:rPr>
        <w:t>7</w:t>
      </w:r>
      <w:r>
        <w:rPr>
          <w:rFonts w:hint="eastAsia" w:ascii="宋体" w:hAnsi="宋体"/>
        </w:rPr>
        <w:t>月上旬～</w:t>
      </w:r>
      <w:r>
        <w:rPr>
          <w:rFonts w:ascii="宋体" w:hAnsi="宋体"/>
        </w:rPr>
        <w:t xml:space="preserve">9 </w:t>
      </w:r>
      <w:r>
        <w:rPr>
          <w:rFonts w:hint="eastAsia" w:ascii="宋体" w:hAnsi="宋体"/>
        </w:rPr>
        <w:t>月上旬）进行，深度</w:t>
      </w:r>
      <w:r>
        <w:rPr>
          <w:rFonts w:ascii="宋体" w:hAnsi="宋体"/>
        </w:rPr>
        <w:t>15cm</w:t>
      </w:r>
      <w:r>
        <w:rPr>
          <w:rFonts w:hint="eastAsia" w:ascii="宋体" w:hAnsi="宋体"/>
        </w:rPr>
        <w:t>～</w:t>
      </w:r>
      <w:r>
        <w:rPr>
          <w:rFonts w:ascii="宋体" w:hAnsi="宋体"/>
        </w:rPr>
        <w:t>20cm</w:t>
      </w:r>
      <w:r>
        <w:rPr>
          <w:rFonts w:hint="eastAsia" w:ascii="宋体" w:hAnsi="宋体"/>
        </w:rPr>
        <w:t>。</w:t>
      </w:r>
      <w:r>
        <w:rPr>
          <w:rFonts w:hint="eastAsia" w:ascii="宋体" w:hAnsi="宋体" w:cs="宋体"/>
          <w:kern w:val="0"/>
        </w:rPr>
        <w:t>中耕除草时间及要求按表</w:t>
      </w:r>
      <w:r>
        <w:rPr>
          <w:rFonts w:ascii="宋体" w:hAnsi="宋体" w:cs="宋体"/>
          <w:kern w:val="0"/>
        </w:rPr>
        <w:t>2</w:t>
      </w:r>
      <w:r>
        <w:rPr>
          <w:rFonts w:hint="eastAsia" w:ascii="宋体" w:hAnsi="宋体" w:cs="宋体"/>
          <w:kern w:val="0"/>
        </w:rPr>
        <w:t>规定。</w:t>
      </w:r>
    </w:p>
    <w:p w14:paraId="3C4E7509">
      <w:pPr>
        <w:autoSpaceDE w:val="0"/>
        <w:autoSpaceDN w:val="0"/>
        <w:adjustRightInd w:val="0"/>
        <w:jc w:val="center"/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表</w:t>
      </w:r>
      <w:r>
        <w:rPr>
          <w:rFonts w:ascii="黑体" w:hAnsi="黑体" w:eastAsia="黑体" w:cs="宋体"/>
          <w:kern w:val="0"/>
        </w:rPr>
        <w:t xml:space="preserve">2  </w:t>
      </w:r>
      <w:r>
        <w:rPr>
          <w:rFonts w:hint="eastAsia" w:ascii="黑体" w:hAnsi="黑体" w:eastAsia="黑体" w:cs="宋体"/>
          <w:kern w:val="0"/>
        </w:rPr>
        <w:t>耕作时间安排</w:t>
      </w:r>
    </w:p>
    <w:tbl>
      <w:tblPr>
        <w:tblStyle w:val="10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536"/>
        <w:gridCol w:w="1985"/>
      </w:tblGrid>
      <w:tr w14:paraId="0F05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09" w:type="dxa"/>
          </w:tcPr>
          <w:p w14:paraId="05A9A39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项目</w:t>
            </w:r>
          </w:p>
        </w:tc>
        <w:tc>
          <w:tcPr>
            <w:tcW w:w="4536" w:type="dxa"/>
          </w:tcPr>
          <w:p w14:paraId="13BB78D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时间</w:t>
            </w:r>
          </w:p>
        </w:tc>
        <w:tc>
          <w:tcPr>
            <w:tcW w:w="1985" w:type="dxa"/>
          </w:tcPr>
          <w:p w14:paraId="5477810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深度（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cm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</w:tr>
      <w:tr w14:paraId="22BD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AE0066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春季浅耕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21F100BD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月下旬至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月上旬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73F7CD2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5FA7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A370F9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夏季浅耕</w:t>
            </w:r>
          </w:p>
        </w:tc>
        <w:tc>
          <w:tcPr>
            <w:tcW w:w="4536" w:type="dxa"/>
          </w:tcPr>
          <w:p w14:paraId="41D81B87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春茶采制结束后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月上中旬</w:t>
            </w:r>
          </w:p>
        </w:tc>
        <w:tc>
          <w:tcPr>
            <w:tcW w:w="1985" w:type="dxa"/>
          </w:tcPr>
          <w:p w14:paraId="15A8ACC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4BF2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8E6912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秋季深耕</w:t>
            </w:r>
          </w:p>
        </w:tc>
        <w:tc>
          <w:tcPr>
            <w:tcW w:w="4536" w:type="dxa"/>
          </w:tcPr>
          <w:p w14:paraId="625A875B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8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月中旬至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10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1D02CC5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</w:tr>
      <w:tr w14:paraId="465E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3"/>
          </w:tcPr>
          <w:p w14:paraId="5375E4ED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注：幼龄茶园根部周围杂草应用手工拔除。绿色食品黑茶茶园不得使用除草剂。</w:t>
            </w:r>
          </w:p>
        </w:tc>
      </w:tr>
    </w:tbl>
    <w:p w14:paraId="491284F9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8.5</w:t>
      </w:r>
      <w:r>
        <w:rPr>
          <w:rFonts w:hint="eastAsia" w:ascii="黑体" w:hAnsi="黑体" w:eastAsia="黑体" w:cs="宋体"/>
          <w:kern w:val="0"/>
        </w:rPr>
        <w:t>　肥料施用</w:t>
      </w:r>
    </w:p>
    <w:p w14:paraId="252D1C10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8.5.1 </w:t>
      </w:r>
      <w:r>
        <w:rPr>
          <w:rFonts w:hint="eastAsia" w:ascii="黑体" w:hAnsi="黑体" w:eastAsia="黑体" w:cs="宋体"/>
          <w:kern w:val="0"/>
        </w:rPr>
        <w:t>施肥原则</w:t>
      </w:r>
      <w:r>
        <w:rPr>
          <w:rFonts w:ascii="黑体" w:hAnsi="黑体" w:eastAsia="黑体" w:cs="宋体"/>
          <w:kern w:val="0"/>
        </w:rPr>
        <w:t xml:space="preserve">     </w:t>
      </w:r>
    </w:p>
    <w:p w14:paraId="1E0625C9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肥料使用应符合</w:t>
      </w:r>
      <w:r>
        <w:rPr>
          <w:rFonts w:ascii="宋体" w:hAnsi="宋体"/>
        </w:rPr>
        <w:t>NY/T 394</w:t>
      </w:r>
      <w:r>
        <w:rPr>
          <w:rFonts w:hint="eastAsia" w:ascii="宋体" w:hAnsi="宋体"/>
        </w:rPr>
        <w:t>的规定。</w:t>
      </w:r>
    </w:p>
    <w:p w14:paraId="53BBB997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8.5.2 </w:t>
      </w:r>
      <w:r>
        <w:rPr>
          <w:rFonts w:hint="eastAsia" w:ascii="黑体" w:hAnsi="黑体" w:eastAsia="黑体" w:cs="宋体"/>
          <w:kern w:val="0"/>
        </w:rPr>
        <w:t>施肥时间及施用量</w:t>
      </w:r>
    </w:p>
    <w:p w14:paraId="286CF2EE">
      <w:pPr>
        <w:autoSpaceDE w:val="0"/>
        <w:autoSpaceDN w:val="0"/>
        <w:adjustRightInd w:val="0"/>
        <w:spacing w:line="380" w:lineRule="exact"/>
        <w:rPr>
          <w:rFonts w:ascii="宋体" w:cs="宋体"/>
          <w:kern w:val="0"/>
        </w:rPr>
      </w:pPr>
      <w:r>
        <w:rPr>
          <w:rFonts w:ascii="宋体" w:hAnsi="宋体" w:cs="宋体"/>
          <w:kern w:val="0"/>
        </w:rPr>
        <w:t xml:space="preserve">8.5.2.1 </w:t>
      </w:r>
      <w:r>
        <w:rPr>
          <w:rFonts w:hint="eastAsia" w:ascii="宋体" w:hAnsi="宋体" w:cs="宋体"/>
          <w:kern w:val="0"/>
        </w:rPr>
        <w:t>黑茶茶园氮肥施用量应根据茶园的产量确定，按每产</w:t>
      </w:r>
      <w:r>
        <w:rPr>
          <w:rFonts w:ascii="宋体" w:hAnsi="宋体" w:cs="宋体"/>
          <w:kern w:val="0"/>
        </w:rPr>
        <w:t>100kg</w:t>
      </w:r>
      <w:r>
        <w:rPr>
          <w:rFonts w:hint="eastAsia" w:ascii="宋体" w:hAnsi="宋体" w:cs="宋体"/>
          <w:kern w:val="0"/>
        </w:rPr>
        <w:t>干茶施用尿素</w:t>
      </w:r>
      <w:r>
        <w:rPr>
          <w:rFonts w:ascii="宋体" w:hAnsi="宋体" w:cs="宋体"/>
          <w:kern w:val="0"/>
        </w:rPr>
        <w:t>25kg</w:t>
      </w:r>
      <w:r>
        <w:rPr>
          <w:rFonts w:hint="eastAsia" w:ascii="宋体" w:hAnsi="宋体" w:cs="宋体"/>
          <w:kern w:val="0"/>
        </w:rPr>
        <w:t>或相当量的有机肥，控制过多使用。追施化学氮肥每次施用量（纯氮计）每亩不超过</w:t>
      </w:r>
      <w:r>
        <w:rPr>
          <w:rFonts w:ascii="宋体" w:hAnsi="宋体" w:cs="宋体"/>
          <w:kern w:val="0"/>
        </w:rPr>
        <w:t>15 kg</w:t>
      </w:r>
      <w:r>
        <w:rPr>
          <w:rFonts w:hint="eastAsia" w:ascii="宋体" w:hAnsi="宋体" w:cs="宋体"/>
          <w:kern w:val="0"/>
        </w:rPr>
        <w:t>，全年氮肥总用量不超过</w:t>
      </w:r>
      <w:r>
        <w:rPr>
          <w:rFonts w:ascii="宋体" w:hAnsi="宋体" w:cs="宋体"/>
          <w:kern w:val="0"/>
        </w:rPr>
        <w:t>60kg</w:t>
      </w:r>
      <w:r>
        <w:rPr>
          <w:rFonts w:hint="eastAsia" w:ascii="宋体" w:hAnsi="宋体" w:cs="宋体"/>
          <w:kern w:val="0"/>
        </w:rPr>
        <w:t>。</w:t>
      </w:r>
    </w:p>
    <w:p w14:paraId="03498638">
      <w:pPr>
        <w:autoSpaceDE w:val="0"/>
        <w:autoSpaceDN w:val="0"/>
        <w:adjustRightInd w:val="0"/>
        <w:spacing w:line="380" w:lineRule="exact"/>
        <w:rPr>
          <w:rFonts w:ascii="宋体" w:cs="宋体"/>
          <w:kern w:val="0"/>
        </w:rPr>
      </w:pPr>
      <w:r>
        <w:rPr>
          <w:rFonts w:ascii="宋体" w:hAnsi="宋体" w:cs="宋体"/>
          <w:kern w:val="0"/>
        </w:rPr>
        <w:t>8.5.2.2</w:t>
      </w:r>
      <w:r>
        <w:rPr>
          <w:rFonts w:hint="eastAsia" w:ascii="宋体" w:hAnsi="宋体" w:cs="宋体"/>
          <w:kern w:val="0"/>
        </w:rPr>
        <w:t>　黑茶茶园基肥一般在</w:t>
      </w:r>
      <w:r>
        <w:rPr>
          <w:rFonts w:ascii="宋体" w:hAnsi="宋体" w:cs="宋体"/>
          <w:kern w:val="0"/>
        </w:rPr>
        <w:t>9</w:t>
      </w:r>
      <w:r>
        <w:rPr>
          <w:rFonts w:hint="eastAsia" w:ascii="宋体" w:hAnsi="宋体" w:cs="宋体"/>
          <w:kern w:val="0"/>
        </w:rPr>
        <w:t>月中下旬至</w:t>
      </w:r>
      <w:r>
        <w:rPr>
          <w:rFonts w:ascii="宋体" w:hAnsi="宋体" w:cs="宋体"/>
          <w:kern w:val="0"/>
        </w:rPr>
        <w:t>10</w:t>
      </w:r>
      <w:r>
        <w:rPr>
          <w:rFonts w:hint="eastAsia" w:ascii="宋体" w:hAnsi="宋体" w:cs="宋体"/>
          <w:kern w:val="0"/>
        </w:rPr>
        <w:t>底结合秋季深耕施基肥，以有机肥为主，年施厩肥或稻草、山青等沤制的土杂肥每亩</w:t>
      </w:r>
      <w:r>
        <w:rPr>
          <w:rFonts w:ascii="宋体" w:hAnsi="宋体" w:cs="宋体"/>
          <w:kern w:val="0"/>
        </w:rPr>
        <w:t>2000</w:t>
      </w:r>
      <w:r>
        <w:rPr>
          <w:rFonts w:hint="eastAsia" w:ascii="宋体" w:hAnsi="宋体" w:cs="宋体"/>
          <w:kern w:val="0"/>
        </w:rPr>
        <w:t>kg～</w:t>
      </w:r>
      <w:r>
        <w:rPr>
          <w:rFonts w:ascii="宋体" w:hAnsi="宋体" w:cs="宋体"/>
          <w:kern w:val="0"/>
        </w:rPr>
        <w:t>3000kg</w:t>
      </w:r>
      <w:r>
        <w:rPr>
          <w:rFonts w:hint="eastAsia" w:ascii="宋体" w:hAnsi="宋体" w:cs="宋体"/>
          <w:kern w:val="0"/>
        </w:rPr>
        <w:t>，以及占全年追肥总量</w:t>
      </w:r>
      <w:r>
        <w:rPr>
          <w:rFonts w:ascii="宋体" w:hAnsi="宋体" w:cs="宋体"/>
          <w:kern w:val="0"/>
        </w:rPr>
        <w:t>20%</w:t>
      </w:r>
      <w:r>
        <w:rPr>
          <w:rFonts w:hint="eastAsia" w:ascii="宋体" w:hAnsi="宋体" w:cs="宋体"/>
          <w:kern w:val="0"/>
        </w:rPr>
        <w:t>的氮、磷、钾速效肥。农家肥缺乏的地方也可每亩一次施</w:t>
      </w:r>
      <w:r>
        <w:rPr>
          <w:rFonts w:ascii="宋体" w:hAnsi="宋体" w:cs="宋体"/>
          <w:kern w:val="0"/>
        </w:rPr>
        <w:t>300kg</w:t>
      </w:r>
      <w:r>
        <w:rPr>
          <w:rFonts w:hint="eastAsia" w:ascii="宋体" w:hAnsi="宋体" w:cs="宋体"/>
          <w:kern w:val="0"/>
        </w:rPr>
        <w:t>左右菜籽饼等饼粕或商品有机肥</w:t>
      </w:r>
      <w:r>
        <w:rPr>
          <w:rFonts w:ascii="宋体" w:hAnsi="宋体" w:cs="宋体"/>
          <w:kern w:val="0"/>
        </w:rPr>
        <w:t>500kg</w:t>
      </w:r>
      <w:r>
        <w:rPr>
          <w:rFonts w:hint="eastAsia" w:ascii="宋体" w:hAnsi="宋体" w:cs="宋体"/>
          <w:kern w:val="0"/>
        </w:rPr>
        <w:t>替代农家肥。基肥以有机肥为主，于当年秋季开沟深施，施肥深度</w:t>
      </w:r>
      <w:r>
        <w:rPr>
          <w:rFonts w:ascii="宋体" w:hAnsi="宋体" w:cs="宋体"/>
          <w:kern w:val="0"/>
        </w:rPr>
        <w:t>20cm</w:t>
      </w:r>
      <w:r>
        <w:rPr>
          <w:rFonts w:hint="eastAsia" w:ascii="宋体" w:hAnsi="宋体" w:cs="宋体"/>
          <w:kern w:val="0"/>
        </w:rPr>
        <w:t>以上。有条件的地方提倡施用使用微生物肥料或沼肥。</w:t>
      </w:r>
    </w:p>
    <w:p w14:paraId="1CBECAC1">
      <w:pPr>
        <w:autoSpaceDE w:val="0"/>
        <w:autoSpaceDN w:val="0"/>
        <w:adjustRightInd w:val="0"/>
        <w:spacing w:line="380" w:lineRule="exact"/>
        <w:rPr>
          <w:rFonts w:ascii="宋体" w:cs="宋体"/>
          <w:kern w:val="0"/>
        </w:rPr>
      </w:pPr>
      <w:r>
        <w:rPr>
          <w:rFonts w:ascii="宋体" w:hAnsi="宋体" w:cs="宋体"/>
          <w:kern w:val="0"/>
        </w:rPr>
        <w:t>8.5.2.3</w:t>
      </w:r>
      <w:r>
        <w:rPr>
          <w:rFonts w:hint="eastAsia" w:ascii="宋体" w:hAnsi="宋体" w:cs="宋体"/>
          <w:kern w:val="0"/>
        </w:rPr>
        <w:t>　黑茶茶园追肥一般每年</w:t>
      </w:r>
      <w:r>
        <w:rPr>
          <w:rFonts w:ascii="宋体" w:hAnsi="宋体" w:cs="宋体"/>
          <w:kern w:val="0"/>
        </w:rPr>
        <w:t>2-3</w:t>
      </w:r>
      <w:r>
        <w:rPr>
          <w:rFonts w:hint="eastAsia" w:ascii="宋体" w:hAnsi="宋体" w:cs="宋体"/>
          <w:kern w:val="0"/>
        </w:rPr>
        <w:t>次。早春施催芽肥，以速效氮肥为主，每亩用量</w:t>
      </w:r>
      <w:r>
        <w:rPr>
          <w:rFonts w:ascii="宋体" w:hAnsi="宋体" w:cs="宋体"/>
          <w:kern w:val="0"/>
        </w:rPr>
        <w:t>10kg</w:t>
      </w:r>
      <w:r>
        <w:rPr>
          <w:rFonts w:hint="eastAsia" w:ascii="宋体" w:hAnsi="宋体" w:cs="宋体"/>
          <w:kern w:val="0"/>
        </w:rPr>
        <w:t>纯氮左右，以越冬芽鳞初展期（</w:t>
      </w:r>
      <w:r>
        <w:rPr>
          <w:rFonts w:ascii="宋体" w:hAnsi="宋体" w:cs="宋体"/>
          <w:kern w:val="0"/>
        </w:rPr>
        <w:t>2</w:t>
      </w:r>
      <w:r>
        <w:rPr>
          <w:rFonts w:hint="eastAsia" w:ascii="宋体" w:hAnsi="宋体" w:cs="宋体"/>
          <w:kern w:val="0"/>
        </w:rPr>
        <w:t>月初、上旬）为适期；春茶或夏茶结束后，分别进行第</w:t>
      </w:r>
      <w:r>
        <w:rPr>
          <w:rFonts w:ascii="宋体" w:hAnsi="宋体" w:cs="宋体"/>
          <w:kern w:val="0"/>
        </w:rPr>
        <w:t>1</w:t>
      </w:r>
      <w:r>
        <w:rPr>
          <w:rFonts w:hint="eastAsia" w:ascii="宋体" w:hAnsi="宋体" w:cs="宋体"/>
          <w:kern w:val="0"/>
        </w:rPr>
        <w:t>～</w:t>
      </w:r>
      <w:r>
        <w:rPr>
          <w:rFonts w:ascii="宋体" w:hAnsi="宋体" w:cs="宋体"/>
          <w:kern w:val="0"/>
        </w:rPr>
        <w:t>2</w:t>
      </w:r>
      <w:r>
        <w:rPr>
          <w:rFonts w:hint="eastAsia" w:ascii="宋体" w:hAnsi="宋体" w:cs="宋体"/>
          <w:kern w:val="0"/>
        </w:rPr>
        <w:t>次追肥，追肥以氮肥为主，每亩用量</w:t>
      </w:r>
      <w:r>
        <w:rPr>
          <w:rFonts w:ascii="宋体" w:hAnsi="宋体" w:cs="宋体"/>
          <w:kern w:val="0"/>
        </w:rPr>
        <w:t>15kg</w:t>
      </w:r>
      <w:r>
        <w:rPr>
          <w:rFonts w:hint="eastAsia" w:ascii="宋体" w:hAnsi="宋体" w:cs="宋体"/>
          <w:kern w:val="0"/>
        </w:rPr>
        <w:t>纯氮。</w:t>
      </w:r>
    </w:p>
    <w:p w14:paraId="1DEC1C9B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8.5.3 </w:t>
      </w:r>
      <w:r>
        <w:rPr>
          <w:rFonts w:hint="eastAsia" w:ascii="黑体" w:hAnsi="黑体" w:eastAsia="黑体" w:cs="宋体"/>
          <w:kern w:val="0"/>
        </w:rPr>
        <w:t>施肥方法</w:t>
      </w:r>
    </w:p>
    <w:p w14:paraId="139ABC05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结合浅耕、中耕、深耕，沿树冠滴水处开沟深</w:t>
      </w:r>
      <w:r>
        <w:rPr>
          <w:rFonts w:ascii="宋体" w:hAnsi="宋体" w:cs="宋体"/>
          <w:kern w:val="0"/>
        </w:rPr>
        <w:t>10</w:t>
      </w:r>
      <w:r>
        <w:rPr>
          <w:rFonts w:hint="eastAsia" w:ascii="宋体" w:hAnsi="宋体" w:cs="宋体"/>
          <w:kern w:val="0"/>
        </w:rPr>
        <w:t>cm～</w:t>
      </w:r>
      <w:r>
        <w:rPr>
          <w:rFonts w:ascii="宋体" w:hAnsi="宋体" w:cs="宋体"/>
          <w:kern w:val="0"/>
        </w:rPr>
        <w:t>20cm</w:t>
      </w:r>
      <w:r>
        <w:rPr>
          <w:rFonts w:hint="eastAsia" w:ascii="宋体" w:hAnsi="宋体" w:cs="宋体"/>
          <w:kern w:val="0"/>
        </w:rPr>
        <w:t>（冬季</w:t>
      </w:r>
      <w:r>
        <w:rPr>
          <w:rFonts w:ascii="宋体" w:hAnsi="宋体" w:cs="宋体"/>
          <w:kern w:val="0"/>
        </w:rPr>
        <w:t>20cm</w:t>
      </w:r>
      <w:r>
        <w:rPr>
          <w:rFonts w:hint="eastAsia" w:ascii="宋体" w:hAnsi="宋体" w:cs="宋体"/>
          <w:kern w:val="0"/>
        </w:rPr>
        <w:t>）施入，并及时覆土。每年追肥</w:t>
      </w:r>
      <w:r>
        <w:rPr>
          <w:rFonts w:ascii="宋体" w:hAnsi="宋体" w:cs="宋体"/>
          <w:kern w:val="0"/>
        </w:rPr>
        <w:t>2-3</w:t>
      </w:r>
      <w:r>
        <w:rPr>
          <w:rFonts w:hint="eastAsia" w:ascii="宋体" w:hAnsi="宋体" w:cs="宋体"/>
          <w:kern w:val="0"/>
        </w:rPr>
        <w:t>次，一般在春、夏、秋茶开采前</w:t>
      </w:r>
      <w:r>
        <w:rPr>
          <w:rFonts w:ascii="宋体" w:hAnsi="宋体" w:cs="宋体"/>
          <w:kern w:val="0"/>
        </w:rPr>
        <w:t>15</w:t>
      </w:r>
      <w:r>
        <w:rPr>
          <w:rFonts w:hint="eastAsia" w:ascii="宋体" w:hAnsi="宋体" w:cs="宋体"/>
          <w:kern w:val="0"/>
        </w:rPr>
        <w:t>d～</w:t>
      </w:r>
      <w:r>
        <w:rPr>
          <w:rFonts w:ascii="宋体" w:hAnsi="宋体" w:cs="宋体"/>
          <w:kern w:val="0"/>
        </w:rPr>
        <w:t>30</w:t>
      </w:r>
      <w:r>
        <w:rPr>
          <w:rFonts w:hint="eastAsia" w:ascii="宋体" w:hAnsi="宋体" w:cs="宋体"/>
          <w:kern w:val="0"/>
        </w:rPr>
        <w:t>d沟施。</w:t>
      </w:r>
    </w:p>
    <w:p w14:paraId="0542C257">
      <w:pPr>
        <w:spacing w:line="380" w:lineRule="exact"/>
      </w:pPr>
      <w:r>
        <w:rPr>
          <w:rFonts w:ascii="黑体" w:hAnsi="黑体" w:eastAsia="黑体"/>
        </w:rPr>
        <w:t xml:space="preserve">9 </w:t>
      </w:r>
      <w:r>
        <w:rPr>
          <w:rFonts w:hint="eastAsia" w:ascii="黑体" w:hAnsi="黑体" w:eastAsia="黑体"/>
        </w:rPr>
        <w:t>水分管理与灌溉</w:t>
      </w:r>
      <w:r>
        <w:t> </w:t>
      </w:r>
    </w:p>
    <w:p w14:paraId="721CC434">
      <w:pPr>
        <w:spacing w:line="380" w:lineRule="exact"/>
        <w:rPr>
          <w:rFonts w:ascii="宋体"/>
        </w:rPr>
      </w:pPr>
      <w:r>
        <w:rPr>
          <w:rFonts w:ascii="宋体" w:hAnsi="宋体" w:cs="宋体"/>
          <w:kern w:val="0"/>
        </w:rPr>
        <w:t>9.1</w:t>
      </w:r>
      <w:r>
        <w:rPr>
          <w:rFonts w:hint="eastAsia" w:ascii="宋体" w:hAnsi="宋体"/>
        </w:rPr>
        <w:t>茶园应建设抗旱保水设施，坡地茶园应开横沟拦蓄地面泾流，减少水土流失；雨季注意蓄水池蓄水，供旱期使用。每年在雨季过后或冬季清理水沟与沉沙凼，保持排水畅通。茶园植树造林，茶园行间铺草以增强茶园土壤涵养水分的能力。</w:t>
      </w:r>
    </w:p>
    <w:p w14:paraId="2513A34D">
      <w:pPr>
        <w:spacing w:line="380" w:lineRule="exact"/>
        <w:rPr>
          <w:rFonts w:ascii="宋体"/>
        </w:rPr>
      </w:pPr>
      <w:r>
        <w:rPr>
          <w:rFonts w:ascii="宋体" w:hAnsi="宋体" w:cs="宋体"/>
          <w:kern w:val="0"/>
        </w:rPr>
        <w:t>9.2</w:t>
      </w:r>
      <w:r>
        <w:rPr>
          <w:rFonts w:ascii="宋体"/>
        </w:rPr>
        <w:t xml:space="preserve">  </w:t>
      </w:r>
      <w:r>
        <w:rPr>
          <w:rFonts w:ascii="宋体" w:hAnsi="宋体"/>
        </w:rPr>
        <w:t>1</w:t>
      </w:r>
      <w:r>
        <w:rPr>
          <w:rFonts w:hint="eastAsia" w:ascii="宋体" w:cs="宋体"/>
          <w:kern w:val="0"/>
        </w:rPr>
        <w:t>～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年生幼龄茶园，应特别采取遮阴、铺草、及时浇水等措施抗旱。栽植茶苗成活前每隔</w:t>
      </w:r>
      <w:r>
        <w:rPr>
          <w:rFonts w:ascii="宋体" w:hAnsi="宋体"/>
        </w:rPr>
        <w:t>5</w:t>
      </w:r>
      <w:r>
        <w:rPr>
          <w:rFonts w:hint="eastAsia" w:ascii="宋体" w:hAnsi="宋体"/>
        </w:rPr>
        <w:t>d</w:t>
      </w:r>
      <w:r>
        <w:rPr>
          <w:rFonts w:hint="eastAsia" w:ascii="宋体" w:cs="宋体"/>
          <w:kern w:val="0"/>
        </w:rPr>
        <w:t>～</w:t>
      </w:r>
      <w:r>
        <w:rPr>
          <w:rFonts w:ascii="宋体" w:hAnsi="宋体"/>
        </w:rPr>
        <w:t>7</w:t>
      </w:r>
      <w:r>
        <w:rPr>
          <w:rFonts w:hint="eastAsia" w:ascii="宋体" w:hAnsi="宋体"/>
        </w:rPr>
        <w:t>d应浇水一次，遇到高温干旱的气候条件，更应及时灌溉补水。</w:t>
      </w:r>
    </w:p>
    <w:p w14:paraId="2473CFA7">
      <w:pPr>
        <w:spacing w:line="380" w:lineRule="exact"/>
        <w:rPr>
          <w:rFonts w:ascii="宋体"/>
        </w:rPr>
      </w:pPr>
      <w:r>
        <w:rPr>
          <w:rFonts w:ascii="宋体" w:hAnsi="宋体" w:cs="宋体"/>
          <w:kern w:val="0"/>
        </w:rPr>
        <w:t>9.3</w:t>
      </w:r>
      <w:r>
        <w:rPr>
          <w:rFonts w:ascii="宋体"/>
        </w:rPr>
        <w:t xml:space="preserve">  </w:t>
      </w:r>
      <w:r>
        <w:rPr>
          <w:rFonts w:hint="eastAsia" w:ascii="宋体" w:hAnsi="宋体"/>
        </w:rPr>
        <w:t>夏秋干旱季节，日均气温接近</w:t>
      </w:r>
      <w:r>
        <w:rPr>
          <w:rFonts w:ascii="宋体" w:hAnsi="宋体"/>
        </w:rPr>
        <w:t>30</w:t>
      </w:r>
      <w:r>
        <w:rPr>
          <w:rFonts w:hint="eastAsia" w:ascii="宋体" w:hAnsi="宋体"/>
        </w:rPr>
        <w:t>℃，最高气温超过</w:t>
      </w:r>
      <w:r>
        <w:rPr>
          <w:rFonts w:ascii="宋体" w:hAnsi="宋体"/>
        </w:rPr>
        <w:t>35</w:t>
      </w:r>
      <w:r>
        <w:rPr>
          <w:rFonts w:hint="eastAsia" w:ascii="宋体" w:hAnsi="宋体"/>
        </w:rPr>
        <w:t>℃持续一星期以上，气象预报仍有一段时期持续高温无雨，茶树根系较集中的土层内含水率低于田间水量的</w:t>
      </w:r>
      <w:r>
        <w:rPr>
          <w:rFonts w:ascii="宋体" w:hAnsi="宋体"/>
        </w:rPr>
        <w:t>70%</w:t>
      </w:r>
      <w:r>
        <w:rPr>
          <w:rFonts w:hint="eastAsia" w:ascii="宋体" w:hAnsi="宋体"/>
        </w:rPr>
        <w:t>时，安排茶园灌溉。</w:t>
      </w:r>
    </w:p>
    <w:p w14:paraId="78884368">
      <w:pPr>
        <w:spacing w:line="380" w:lineRule="exact"/>
        <w:rPr>
          <w:rFonts w:ascii="宋体"/>
        </w:rPr>
      </w:pPr>
      <w:r>
        <w:rPr>
          <w:rFonts w:ascii="宋体" w:hAnsi="宋体" w:cs="宋体"/>
          <w:kern w:val="0"/>
        </w:rPr>
        <w:t>9.4</w:t>
      </w:r>
      <w:r>
        <w:rPr>
          <w:rFonts w:ascii="宋体"/>
        </w:rPr>
        <w:t> </w:t>
      </w:r>
      <w:r>
        <w:rPr>
          <w:rFonts w:hint="eastAsia" w:ascii="宋体" w:hAnsi="宋体"/>
        </w:rPr>
        <w:t>茶园灌溉可结合实际采取地面流灌、空中喷灌和地中渗灌。无喷灌条件的，采取地面灌溉（包括沟灌、漫灌等）。有条件的茶园，宜采取喷灌，辅之以渗灌。</w:t>
      </w:r>
    </w:p>
    <w:p w14:paraId="3454B76A">
      <w:pPr>
        <w:spacing w:line="380" w:lineRule="exact"/>
        <w:rPr>
          <w:rFonts w:ascii="宋体"/>
        </w:rPr>
      </w:pPr>
      <w:r>
        <w:rPr>
          <w:rFonts w:ascii="宋体" w:hAnsi="宋体" w:cs="宋体"/>
          <w:kern w:val="0"/>
        </w:rPr>
        <w:t>9.5</w:t>
      </w:r>
      <w:r>
        <w:rPr>
          <w:rFonts w:ascii="宋体"/>
        </w:rPr>
        <w:t> </w:t>
      </w:r>
      <w:r>
        <w:rPr>
          <w:rFonts w:hint="eastAsia" w:ascii="宋体" w:hAnsi="宋体"/>
        </w:rPr>
        <w:t>每次灌水量和灌水前土壤的储水量之和，不应超过土壤耕作层的田间持水量的范围，使根系较集中的土层含水率接近或达到田间持水量。</w:t>
      </w:r>
    </w:p>
    <w:p w14:paraId="05FD4E69">
      <w:pPr>
        <w:spacing w:line="38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t>10</w:t>
      </w:r>
      <w:r>
        <w:rPr>
          <w:rFonts w:hint="eastAsia" w:ascii="黑体" w:hAnsi="黑体" w:eastAsia="黑体"/>
        </w:rPr>
        <w:t>　病虫草害防治</w:t>
      </w:r>
    </w:p>
    <w:p w14:paraId="4642FC85">
      <w:pPr>
        <w:spacing w:line="38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t>10.1</w:t>
      </w:r>
      <w:r>
        <w:rPr>
          <w:rFonts w:hint="eastAsia" w:ascii="黑体" w:hAnsi="黑体" w:eastAsia="黑体"/>
        </w:rPr>
        <w:t>　生态调控</w:t>
      </w:r>
    </w:p>
    <w:p w14:paraId="1DD336F0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.1.1</w:t>
      </w:r>
      <w:r>
        <w:rPr>
          <w:rFonts w:hint="eastAsia" w:ascii="宋体" w:hAnsi="宋体"/>
        </w:rPr>
        <w:t>选用抗病虫品种，异地调苗应进行检疫。</w:t>
      </w:r>
    </w:p>
    <w:p w14:paraId="45BDFA95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.1.2</w:t>
      </w:r>
      <w:r>
        <w:rPr>
          <w:rFonts w:hint="eastAsia" w:ascii="宋体" w:hAnsi="宋体"/>
        </w:rPr>
        <w:t>茶园四周或茶园内不适合种茶的空地应植树造林，茶园的上风口应营造防护林。主要道路、沟渠两边种植行道树，选择不落叶的杉、棕、苦楝、桂花、玉兰等树种，茶园周边和梯坎保留一定数量的杂草和种草，改善茶园的生态环境。</w:t>
      </w:r>
    </w:p>
    <w:p w14:paraId="7A8B252B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.1.3</w:t>
      </w:r>
      <w:r>
        <w:rPr>
          <w:rFonts w:hint="eastAsia" w:ascii="宋体" w:hAnsi="宋体"/>
        </w:rPr>
        <w:t xml:space="preserve">  结合分批、多次、及时采摘与修剪和台刈，抑制危害芽叶、枝干的病虫。</w:t>
      </w:r>
    </w:p>
    <w:p w14:paraId="472B5F5F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.1.4</w:t>
      </w:r>
      <w:r>
        <w:rPr>
          <w:rFonts w:hint="eastAsia" w:ascii="宋体" w:hAnsi="宋体"/>
        </w:rPr>
        <w:t>　茶园覆盖物选用稻草或者茶树枝叶、山青等材料，铺设厚度</w:t>
      </w:r>
      <w:r>
        <w:rPr>
          <w:rFonts w:ascii="宋体" w:hAnsi="宋体"/>
        </w:rPr>
        <w:t>3cm</w:t>
      </w:r>
      <w:r>
        <w:rPr>
          <w:rFonts w:hint="eastAsia" w:ascii="宋体" w:hAnsi="宋体"/>
        </w:rPr>
        <w:t>～</w:t>
      </w:r>
      <w:r>
        <w:rPr>
          <w:rFonts w:ascii="宋体" w:hAnsi="宋体"/>
        </w:rPr>
        <w:t>5cm</w:t>
      </w:r>
      <w:r>
        <w:rPr>
          <w:rFonts w:hint="eastAsia" w:ascii="宋体" w:hAnsi="宋体"/>
        </w:rPr>
        <w:t>。茶行间种绿肥，抑制茶园杂草生长。</w:t>
      </w:r>
    </w:p>
    <w:p w14:paraId="00C6B669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.1.5</w:t>
      </w:r>
      <w:r>
        <w:rPr>
          <w:rFonts w:hint="eastAsia" w:ascii="宋体" w:hAnsi="宋体"/>
        </w:rPr>
        <w:t xml:space="preserve"> 合理管理肥水，增强树势，提高茶树抵抗力，减少病虫害发生。合理修剪，改善密闭茶园通风透光条件。　</w:t>
      </w:r>
    </w:p>
    <w:p w14:paraId="054F2445">
      <w:pPr>
        <w:spacing w:line="38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t>10.2</w:t>
      </w:r>
      <w:r>
        <w:rPr>
          <w:rFonts w:hint="eastAsia" w:ascii="黑体" w:hAnsi="黑体" w:eastAsia="黑体"/>
        </w:rPr>
        <w:t>　理化诱控</w:t>
      </w:r>
    </w:p>
    <w:p w14:paraId="0DA39371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.2.1</w:t>
      </w:r>
      <w:r>
        <w:rPr>
          <w:rFonts w:hint="eastAsia" w:ascii="宋体" w:hAnsi="宋体"/>
        </w:rPr>
        <w:t xml:space="preserve"> 人工捕杀，减轻茶毛虫、茶蚕、蓑蛾、卷叶蛾类和茶丽纹象甲等害虫的危害。</w:t>
      </w:r>
    </w:p>
    <w:p w14:paraId="4E35FD4B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.2.2</w:t>
      </w:r>
      <w:r>
        <w:rPr>
          <w:rFonts w:hint="eastAsia" w:ascii="宋体" w:hAnsi="宋体"/>
        </w:rPr>
        <w:t xml:space="preserve"> 吸虫捕杀，采用负压吸虫器收集假眼小绿叶蝉、粉虱等茶园小型叶面害虫进行集中处理。</w:t>
      </w:r>
    </w:p>
    <w:p w14:paraId="4C637288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.2.3</w:t>
      </w:r>
      <w:r>
        <w:rPr>
          <w:rFonts w:hint="eastAsia" w:ascii="宋体" w:hAnsi="宋体"/>
        </w:rPr>
        <w:t xml:space="preserve"> 每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～</w:t>
      </w:r>
      <w:r>
        <w:rPr>
          <w:rFonts w:ascii="宋体" w:hAnsi="宋体"/>
        </w:rPr>
        <w:t>25</w:t>
      </w:r>
      <w:r>
        <w:rPr>
          <w:rFonts w:hint="eastAsia" w:ascii="宋体" w:hAnsi="宋体"/>
        </w:rPr>
        <w:t>亩茶园安装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只太阳能杀虫灯，诱杀</w:t>
      </w:r>
      <w:bookmarkStart w:id="2" w:name="OLE_LINK31"/>
      <w:r>
        <w:rPr>
          <w:rFonts w:hint="eastAsia" w:ascii="宋体" w:hAnsi="宋体"/>
        </w:rPr>
        <w:t>灰茶尺蠖、茶毛虫、</w:t>
      </w:r>
      <w:bookmarkEnd w:id="2"/>
      <w:r>
        <w:rPr>
          <w:rFonts w:hint="eastAsia" w:ascii="宋体" w:hAnsi="宋体"/>
        </w:rPr>
        <w:t>金龟甲等害虫成虫。</w:t>
      </w:r>
    </w:p>
    <w:p w14:paraId="3DF6A42C">
      <w:pPr>
        <w:spacing w:line="380" w:lineRule="exact"/>
        <w:rPr>
          <w:rFonts w:ascii="宋体"/>
        </w:rPr>
      </w:pPr>
      <w:r>
        <w:rPr>
          <w:rFonts w:ascii="宋体" w:hAnsi="宋体"/>
        </w:rPr>
        <w:t>10.2.4</w:t>
      </w:r>
      <w:r>
        <w:rPr>
          <w:rFonts w:hint="eastAsia" w:ascii="宋体" w:hAnsi="宋体"/>
        </w:rPr>
        <w:t xml:space="preserve"> 每亩挂黄板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～</w:t>
      </w:r>
      <w:r>
        <w:rPr>
          <w:rFonts w:ascii="宋体" w:hAnsi="宋体"/>
        </w:rPr>
        <w:t>25</w:t>
      </w:r>
      <w:r>
        <w:rPr>
          <w:rFonts w:hint="eastAsia" w:ascii="宋体" w:hAnsi="宋体"/>
        </w:rPr>
        <w:t>块，诱杀黑刺粉虱、蚜虫、假眼小绿叶蝉、角胸叶甲等害虫。</w:t>
      </w:r>
    </w:p>
    <w:p w14:paraId="201F64CF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.2.5</w:t>
      </w:r>
      <w:r>
        <w:rPr>
          <w:rFonts w:hint="eastAsia" w:ascii="宋体" w:hAnsi="宋体"/>
        </w:rPr>
        <w:t xml:space="preserve"> 化学物质诱杀，信息素诱杀（性信息素和昆虫聚集信息素）和糖醋等诱杀灰茶尺蠖、茶毛虫等成虫。</w:t>
      </w:r>
    </w:p>
    <w:p w14:paraId="7DEE24D7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.2.6</w:t>
      </w:r>
      <w:r>
        <w:rPr>
          <w:rFonts w:hint="eastAsia" w:ascii="宋体" w:hAnsi="宋体"/>
        </w:rPr>
        <w:t xml:space="preserve"> 采用机械或人工方法防除杂草。　</w:t>
      </w:r>
    </w:p>
    <w:p w14:paraId="46D425F8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.2.7</w:t>
      </w:r>
      <w:r>
        <w:rPr>
          <w:rFonts w:hint="eastAsia" w:ascii="宋体" w:hAnsi="宋体"/>
        </w:rPr>
        <w:t xml:space="preserve"> 深耕施肥和初冬农闲时，将茶园内枯枝落叶和茶树上的病虫枝叶清理出茶园集中销毁，减少越冬病虫基数。</w:t>
      </w:r>
    </w:p>
    <w:p w14:paraId="506D02DE">
      <w:pPr>
        <w:spacing w:line="380" w:lineRule="exact"/>
        <w:rPr>
          <w:rFonts w:ascii="黑体" w:hAnsi="黑体" w:eastAsia="黑体"/>
          <w:b/>
        </w:rPr>
      </w:pPr>
      <w:r>
        <w:rPr>
          <w:rFonts w:ascii="黑体" w:hAnsi="黑体" w:eastAsia="黑体"/>
        </w:rPr>
        <w:t>10</w:t>
      </w:r>
      <w:r>
        <w:rPr>
          <w:rFonts w:ascii="黑体" w:hAnsi="黑体" w:eastAsia="黑体"/>
          <w:b/>
        </w:rPr>
        <w:t xml:space="preserve">.3  </w:t>
      </w:r>
      <w:r>
        <w:rPr>
          <w:rFonts w:hint="eastAsia" w:ascii="黑体" w:hAnsi="黑体" w:eastAsia="黑体"/>
          <w:b/>
        </w:rPr>
        <w:t>生物防治</w:t>
      </w:r>
    </w:p>
    <w:p w14:paraId="51389A6B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 xml:space="preserve">.3.1 </w:t>
      </w:r>
      <w:r>
        <w:rPr>
          <w:rFonts w:hint="eastAsia" w:ascii="宋体" w:hAnsi="宋体"/>
        </w:rPr>
        <w:t>通过茶行间种绿肥植物或其它经济作物，结合农事操作为茶园天敌提供栖息场所和迁移条件，保护天敌种群多样性，发挥自然天敌的控害作用。</w:t>
      </w:r>
    </w:p>
    <w:p w14:paraId="2615B815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 xml:space="preserve">.3.2 </w:t>
      </w:r>
      <w:r>
        <w:rPr>
          <w:rFonts w:hint="eastAsia" w:ascii="宋体" w:hAnsi="宋体"/>
        </w:rPr>
        <w:t>繁殖、释放和引进害虫天敌，在害虫卵期或幼虫早期，喷施植物源的诱导剂，诱导茶树释放挥发物，吸引天敌，增加茶园天敌种群数量。</w:t>
      </w:r>
    </w:p>
    <w:p w14:paraId="0984AAC4">
      <w:pPr>
        <w:spacing w:line="373" w:lineRule="atLeast"/>
        <w:rPr>
          <w:rFonts w:ascii="宋体" w:hAns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 xml:space="preserve">.3.3 </w:t>
      </w:r>
      <w:r>
        <w:rPr>
          <w:rFonts w:hint="eastAsia" w:ascii="宋体" w:hAnsi="宋体"/>
        </w:rPr>
        <w:t>推广生物制剂（包括植物制剂和微生物农药）</w:t>
      </w:r>
      <w:r>
        <w:rPr>
          <w:rFonts w:ascii="宋体"/>
        </w:rPr>
        <w:t>,</w:t>
      </w:r>
      <w:r>
        <w:rPr>
          <w:rFonts w:hint="eastAsia" w:ascii="宋体" w:hAnsi="宋体"/>
        </w:rPr>
        <w:t>如白僵菌、绿僵菌、短稳杆菌、苏云金杆菌（</w:t>
      </w:r>
      <w:r>
        <w:rPr>
          <w:rFonts w:ascii="宋体" w:hAnsi="宋体"/>
        </w:rPr>
        <w:t>Bt</w:t>
      </w:r>
      <w:r>
        <w:rPr>
          <w:rFonts w:hint="eastAsia" w:ascii="宋体" w:hAnsi="宋体"/>
        </w:rPr>
        <w:t>）和甘蓝夜蛾核型多角体病毒悬浮剂等。</w:t>
      </w:r>
    </w:p>
    <w:p w14:paraId="0A92FE28">
      <w:pPr>
        <w:spacing w:line="380" w:lineRule="exact"/>
        <w:rPr>
          <w:rFonts w:ascii="黑体" w:hAnsi="黑体" w:eastAsia="黑体"/>
          <w:b/>
        </w:rPr>
      </w:pPr>
      <w:r>
        <w:rPr>
          <w:rFonts w:ascii="黑体" w:hAnsi="黑体" w:eastAsia="黑体"/>
        </w:rPr>
        <w:t>10</w:t>
      </w:r>
      <w:r>
        <w:rPr>
          <w:rFonts w:ascii="黑体" w:hAnsi="黑体" w:eastAsia="黑体"/>
          <w:b/>
        </w:rPr>
        <w:t>.4</w:t>
      </w:r>
      <w:r>
        <w:rPr>
          <w:rFonts w:hint="eastAsia" w:ascii="黑体" w:hAnsi="黑体" w:eastAsia="黑体"/>
          <w:b/>
        </w:rPr>
        <w:t xml:space="preserve"> </w:t>
      </w:r>
      <w:r>
        <w:rPr>
          <w:rFonts w:ascii="黑体" w:hAnsi="黑体" w:eastAsia="黑体"/>
          <w:b/>
        </w:rPr>
        <w:t xml:space="preserve"> </w:t>
      </w:r>
      <w:r>
        <w:rPr>
          <w:rFonts w:hint="eastAsia" w:ascii="黑体" w:hAnsi="黑体" w:eastAsia="黑体"/>
          <w:b/>
        </w:rPr>
        <w:t>化学防治</w:t>
      </w:r>
    </w:p>
    <w:p w14:paraId="133D43CD">
      <w:pPr>
        <w:spacing w:line="380" w:lineRule="exact"/>
        <w:rPr>
          <w:rFonts w:ascii="宋体" w:hAns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.4.1</w:t>
      </w:r>
      <w:r>
        <w:rPr>
          <w:rFonts w:hint="eastAsia" w:ascii="宋体" w:hAnsi="宋体"/>
        </w:rPr>
        <w:t xml:space="preserve"> 严格遵循</w:t>
      </w:r>
      <w:r>
        <w:rPr>
          <w:rFonts w:ascii="宋体" w:hAnsi="宋体"/>
        </w:rPr>
        <w:t>NY/T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>393</w:t>
      </w:r>
      <w:r>
        <w:rPr>
          <w:rFonts w:hint="eastAsia" w:ascii="宋体" w:hAnsi="宋体"/>
        </w:rPr>
        <w:t>的规定，具体使用情况见附录B。</w:t>
      </w:r>
    </w:p>
    <w:p w14:paraId="1C25640C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.4.</w:t>
      </w:r>
      <w:r>
        <w:rPr>
          <w:rFonts w:hint="eastAsia" w:ascii="宋体" w:hAnsi="宋体"/>
        </w:rPr>
        <w:t>2 及时检查茶园病虫害情况，科学使用化学农药，抓住害虫的早、小和少的关键时期，采用局部点杀和微喷技术进行防治，减少化学农药的使用，保护天敌，减少茶叶农药残留。</w:t>
      </w:r>
    </w:p>
    <w:p w14:paraId="16194F13">
      <w:pPr>
        <w:spacing w:line="380" w:lineRule="exact"/>
        <w:rPr>
          <w:rFonts w:ascii="宋体"/>
        </w:rPr>
      </w:pPr>
      <w:r>
        <w:rPr>
          <w:rFonts w:ascii="黑体" w:hAnsi="黑体" w:eastAsia="黑体"/>
        </w:rPr>
        <w:t>10</w:t>
      </w:r>
      <w:r>
        <w:rPr>
          <w:rFonts w:ascii="宋体" w:hAnsi="宋体"/>
        </w:rPr>
        <w:t>.4.</w:t>
      </w:r>
      <w:r>
        <w:rPr>
          <w:rFonts w:hint="eastAsia" w:ascii="宋体" w:hAnsi="宋体"/>
        </w:rPr>
        <w:t>3 秋末时使用矿物源农药或石硫合剂封园，并对茶丛中下部的叶背喷湿，防治茶炭疽病、茶饼病、茶叶蓟马、茶叶螨类、假眼小绿叶蝉和黑刺粉虱等病虫害。</w:t>
      </w:r>
      <w:r>
        <w:rPr>
          <w:rFonts w:ascii="宋体" w:hAnsi="宋体"/>
        </w:rPr>
        <w:t xml:space="preserve"> </w:t>
      </w:r>
    </w:p>
    <w:p w14:paraId="0EBAAB73">
      <w:pPr>
        <w:spacing w:line="38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11  </w:t>
      </w:r>
      <w:r>
        <w:rPr>
          <w:rFonts w:hint="eastAsia" w:ascii="黑体" w:hAnsi="黑体" w:eastAsia="黑体"/>
        </w:rPr>
        <w:t>鲜叶采摘</w:t>
      </w:r>
    </w:p>
    <w:p w14:paraId="760484A8">
      <w:pPr>
        <w:spacing w:line="38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11.1 </w:t>
      </w:r>
      <w:r>
        <w:rPr>
          <w:rFonts w:hint="eastAsia" w:ascii="黑体" w:hAnsi="黑体" w:eastAsia="黑体"/>
        </w:rPr>
        <w:t>采摘原则</w:t>
      </w:r>
    </w:p>
    <w:p w14:paraId="5461A1C4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根据茶树生长特性和黑茶成品茶对鲜叶原料嫩度的要求，遵循采留结合、量质兼顾原则，按标准适时采摘。</w:t>
      </w:r>
    </w:p>
    <w:p w14:paraId="3CC7A053">
      <w:pPr>
        <w:spacing w:line="38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11.2 </w:t>
      </w:r>
      <w:r>
        <w:rPr>
          <w:rFonts w:hint="eastAsia" w:ascii="黑体" w:hAnsi="黑体" w:eastAsia="黑体"/>
        </w:rPr>
        <w:t>采摘方法</w:t>
      </w:r>
    </w:p>
    <w:p w14:paraId="21525D8E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手工采摘应保持芽叶或嫩梢完整、新鲜、匀净，不夹带茶果、老枝叶或非茶类夹杂物。生长势强，芽叶整齐，采摘面平整的茶园提倡机采。采茶机应使用无铅汽油，防止汽油、机油污染茶叶、茶树和土壤。采下的茶叶应及时运抵加工厂加工，防止鲜叶变质。</w:t>
      </w:r>
    </w:p>
    <w:p w14:paraId="778CADCD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12 </w:t>
      </w:r>
      <w:r>
        <w:rPr>
          <w:rFonts w:hint="eastAsia" w:ascii="黑体" w:hAnsi="黑体" w:eastAsia="黑体" w:cs="宋体"/>
          <w:kern w:val="0"/>
        </w:rPr>
        <w:t>茶叶加工</w:t>
      </w:r>
    </w:p>
    <w:p w14:paraId="02FDCADB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12.1 加工厂区要求</w:t>
      </w:r>
    </w:p>
    <w:p w14:paraId="49F01A45">
      <w:pPr>
        <w:spacing w:line="380" w:lineRule="exact"/>
        <w:ind w:firstLine="420" w:firstLineChars="200"/>
        <w:rPr>
          <w:rFonts w:ascii="黑体" w:hAnsi="黑体" w:eastAsia="黑体" w:cs="宋体"/>
          <w:kern w:val="0"/>
        </w:rPr>
      </w:pPr>
      <w:r>
        <w:rPr>
          <w:rFonts w:hint="eastAsia" w:ascii="宋体" w:hAnsi="宋体"/>
        </w:rPr>
        <w:t>加工厂区环境、厂房与设施、加工设备与工具、人员卫生管理等要求应符合</w:t>
      </w:r>
      <w:r>
        <w:rPr>
          <w:rFonts w:ascii="宋体" w:hAnsi="宋体" w:cs="宋体"/>
        </w:rPr>
        <w:t>GB/T 32744</w:t>
      </w:r>
      <w:r>
        <w:rPr>
          <w:rFonts w:hint="eastAsia" w:ascii="宋体" w:hAnsi="宋体" w:cs="宋体"/>
        </w:rPr>
        <w:t>。</w:t>
      </w:r>
      <w:r>
        <w:rPr>
          <w:rFonts w:ascii="黑体" w:hAnsi="黑体" w:eastAsia="黑体" w:cs="宋体"/>
          <w:kern w:val="0"/>
        </w:rPr>
        <w:t>12.</w:t>
      </w:r>
      <w:r>
        <w:rPr>
          <w:rFonts w:hint="eastAsia" w:ascii="黑体" w:hAnsi="黑体" w:eastAsia="黑体" w:cs="宋体"/>
          <w:kern w:val="0"/>
        </w:rPr>
        <w:t>2 加工工艺</w:t>
      </w:r>
    </w:p>
    <w:p w14:paraId="4A5F7267">
      <w:pPr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12.</w:t>
      </w:r>
      <w:r>
        <w:rPr>
          <w:rFonts w:hint="eastAsia" w:ascii="黑体" w:hAnsi="黑体" w:eastAsia="黑体" w:cs="宋体"/>
          <w:kern w:val="0"/>
        </w:rPr>
        <w:t>2.1 鲜叶摊放</w:t>
      </w:r>
    </w:p>
    <w:p w14:paraId="2C8D3FFE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加工特级、一级黑毛茶时，鲜叶摊放厚度约</w:t>
      </w:r>
      <w:r>
        <w:rPr>
          <w:rFonts w:ascii="宋体" w:hAnsi="宋体"/>
        </w:rPr>
        <w:t>10cm,</w:t>
      </w:r>
      <w:r>
        <w:rPr>
          <w:rFonts w:hint="eastAsia" w:ascii="宋体" w:hAnsi="宋体"/>
        </w:rPr>
        <w:t>摊放时间约为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h</w:t>
      </w:r>
      <w:r>
        <w:rPr>
          <w:rFonts w:hint="eastAsia" w:ascii="宋体" w:hAnsi="宋体"/>
          <w:spacing w:val="2"/>
        </w:rPr>
        <w:t>～</w:t>
      </w:r>
      <w:r>
        <w:rPr>
          <w:rFonts w:ascii="宋体" w:hAnsi="宋体"/>
        </w:rPr>
        <w:t>6</w:t>
      </w:r>
      <w:r>
        <w:rPr>
          <w:rFonts w:hint="eastAsia" w:ascii="宋体" w:hAnsi="宋体"/>
        </w:rPr>
        <w:t>h，加工二、三级黑毛茶时，鲜叶摊放厚度约</w:t>
      </w:r>
      <w:r>
        <w:rPr>
          <w:rFonts w:ascii="宋体" w:hAnsi="宋体"/>
        </w:rPr>
        <w:t>20cm</w:t>
      </w:r>
      <w:r>
        <w:rPr>
          <w:rFonts w:hint="eastAsia" w:ascii="宋体" w:hAnsi="宋体"/>
        </w:rPr>
        <w:t>，摊放时间约为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h</w:t>
      </w:r>
      <w:r>
        <w:rPr>
          <w:rFonts w:hint="eastAsia" w:ascii="宋体" w:hAnsi="宋体"/>
          <w:spacing w:val="2"/>
        </w:rPr>
        <w:t>～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h，加工四级以下的黑毛茶或者立夏以后加工黑毛茶时，鲜叶不经摊放即进行杀青。</w:t>
      </w:r>
    </w:p>
    <w:p w14:paraId="3E671C04">
      <w:pPr>
        <w:spacing w:line="380" w:lineRule="exact"/>
        <w:rPr>
          <w:rFonts w:ascii="宋体" w:hAnsi="宋体"/>
          <w:spacing w:val="2"/>
        </w:rPr>
      </w:pPr>
      <w:r>
        <w:rPr>
          <w:rFonts w:ascii="黑体" w:hAnsi="黑体" w:eastAsia="黑体" w:cs="宋体"/>
          <w:kern w:val="0"/>
        </w:rPr>
        <w:t>12</w:t>
      </w:r>
      <w:r>
        <w:rPr>
          <w:rFonts w:hint="eastAsia" w:ascii="黑体" w:hAnsi="黑体" w:eastAsia="黑体" w:cs="宋体"/>
          <w:kern w:val="0"/>
        </w:rPr>
        <w:t>.2.2 杀青</w:t>
      </w:r>
    </w:p>
    <w:p w14:paraId="58598869">
      <w:pPr>
        <w:spacing w:line="380" w:lineRule="exact"/>
        <w:ind w:firstLine="428" w:firstLineChars="200"/>
        <w:rPr>
          <w:rFonts w:ascii="宋体"/>
          <w:spacing w:val="2"/>
        </w:rPr>
      </w:pPr>
      <w:r>
        <w:rPr>
          <w:rFonts w:hint="eastAsia" w:ascii="宋体" w:hAnsi="宋体"/>
          <w:spacing w:val="2"/>
        </w:rPr>
        <w:t>手工杀青采用口径</w:t>
      </w:r>
      <w:r>
        <w:rPr>
          <w:rFonts w:ascii="宋体" w:hAnsi="宋体"/>
          <w:spacing w:val="2"/>
        </w:rPr>
        <w:t>80</w:t>
      </w:r>
      <w:r>
        <w:rPr>
          <w:rFonts w:hint="eastAsia" w:ascii="宋体" w:hAnsi="宋体"/>
          <w:spacing w:val="2"/>
        </w:rPr>
        <w:t>cm～</w:t>
      </w:r>
      <w:r>
        <w:rPr>
          <w:rFonts w:ascii="宋体" w:hAnsi="宋体"/>
          <w:spacing w:val="2"/>
        </w:rPr>
        <w:t>90cm</w:t>
      </w:r>
      <w:r>
        <w:rPr>
          <w:rFonts w:hint="eastAsia" w:ascii="宋体" w:hAnsi="宋体"/>
          <w:spacing w:val="2"/>
        </w:rPr>
        <w:t>的平锅，锅温</w:t>
      </w:r>
      <w:r>
        <w:rPr>
          <w:rFonts w:ascii="宋体" w:hAnsi="宋体"/>
          <w:spacing w:val="2"/>
        </w:rPr>
        <w:t>280</w:t>
      </w:r>
      <w:r>
        <w:rPr>
          <w:rFonts w:hint="eastAsia" w:ascii="宋体" w:hAnsi="宋体"/>
          <w:spacing w:val="2"/>
        </w:rPr>
        <w:t>℃～</w:t>
      </w:r>
      <w:r>
        <w:rPr>
          <w:rFonts w:ascii="宋体" w:hAnsi="宋体"/>
          <w:spacing w:val="2"/>
        </w:rPr>
        <w:t>320</w:t>
      </w:r>
      <w:r>
        <w:rPr>
          <w:rFonts w:hint="eastAsia" w:ascii="宋体" w:hAnsi="宋体"/>
          <w:spacing w:val="2"/>
        </w:rPr>
        <w:t>℃，每锅投叶量</w:t>
      </w:r>
      <w:r>
        <w:rPr>
          <w:rFonts w:ascii="宋体" w:hAnsi="宋体"/>
          <w:spacing w:val="2"/>
        </w:rPr>
        <w:t>4</w:t>
      </w:r>
      <w:r>
        <w:rPr>
          <w:rFonts w:hint="eastAsia" w:ascii="宋体" w:hAnsi="宋体"/>
          <w:spacing w:val="2"/>
        </w:rPr>
        <w:t>kg～</w:t>
      </w:r>
      <w:r>
        <w:rPr>
          <w:rFonts w:ascii="宋体" w:hAnsi="宋体"/>
          <w:spacing w:val="2"/>
        </w:rPr>
        <w:t>5kg</w:t>
      </w:r>
      <w:r>
        <w:rPr>
          <w:rFonts w:hint="eastAsia" w:ascii="宋体" w:hAnsi="宋体"/>
          <w:spacing w:val="2"/>
        </w:rPr>
        <w:t>。机械杀青采用滚筒杀青机，当锅温达到</w:t>
      </w:r>
      <w:r>
        <w:rPr>
          <w:rFonts w:ascii="宋体" w:hAnsi="宋体"/>
          <w:spacing w:val="2"/>
        </w:rPr>
        <w:t>350</w:t>
      </w:r>
      <w:r>
        <w:rPr>
          <w:rFonts w:hint="eastAsia" w:ascii="宋体" w:hAnsi="宋体"/>
          <w:spacing w:val="2"/>
        </w:rPr>
        <w:t>℃～</w:t>
      </w:r>
      <w:r>
        <w:rPr>
          <w:rFonts w:ascii="宋体" w:hAnsi="宋体"/>
          <w:spacing w:val="2"/>
        </w:rPr>
        <w:t>38</w:t>
      </w:r>
      <w:r>
        <w:rPr>
          <w:rFonts w:ascii="宋体"/>
          <w:spacing w:val="2"/>
        </w:rPr>
        <w:t>0</w:t>
      </w:r>
      <w:r>
        <w:rPr>
          <w:rFonts w:hint="eastAsia" w:ascii="宋体" w:hAnsi="宋体"/>
          <w:spacing w:val="2"/>
        </w:rPr>
        <w:t>℃时投叶，依鲜叶的老嫩，水分含量的多少，调节投茶量，以保证杀青适度。</w:t>
      </w:r>
    </w:p>
    <w:p w14:paraId="66F4919D">
      <w:pPr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12.</w:t>
      </w:r>
      <w:r>
        <w:rPr>
          <w:rFonts w:hint="eastAsia" w:ascii="黑体" w:hAnsi="黑体" w:eastAsia="黑体" w:cs="宋体"/>
          <w:kern w:val="0"/>
        </w:rPr>
        <w:t>2.3揉捻</w:t>
      </w:r>
    </w:p>
    <w:p w14:paraId="4FBFC66D">
      <w:pPr>
        <w:spacing w:line="380" w:lineRule="exact"/>
        <w:ind w:firstLine="428" w:firstLineChars="200"/>
        <w:rPr>
          <w:rFonts w:ascii="黑体" w:hAnsi="黑体" w:eastAsia="黑体" w:cs="宋体"/>
          <w:kern w:val="0"/>
        </w:rPr>
      </w:pPr>
      <w:r>
        <w:rPr>
          <w:rFonts w:hint="eastAsia" w:ascii="宋体" w:hAnsi="宋体"/>
          <w:spacing w:val="2"/>
        </w:rPr>
        <w:t>要趁热揉捻。按“轻</w:t>
      </w:r>
      <w:r>
        <w:rPr>
          <w:rFonts w:ascii="宋体" w:hAnsi="宋体"/>
          <w:spacing w:val="2"/>
        </w:rPr>
        <w:t>—</w:t>
      </w:r>
      <w:r>
        <w:rPr>
          <w:rFonts w:hint="eastAsia" w:ascii="宋体" w:hAnsi="宋体"/>
          <w:spacing w:val="2"/>
        </w:rPr>
        <w:t>重</w:t>
      </w:r>
      <w:r>
        <w:rPr>
          <w:rFonts w:ascii="宋体" w:hAnsi="宋体"/>
          <w:spacing w:val="2"/>
        </w:rPr>
        <w:t>—</w:t>
      </w:r>
      <w:r>
        <w:rPr>
          <w:rFonts w:hint="eastAsia" w:ascii="宋体" w:hAnsi="宋体"/>
          <w:spacing w:val="2"/>
        </w:rPr>
        <w:t>轻”原则加压，应轻压、短时、慢揉。揉捻时间</w:t>
      </w:r>
      <w:r>
        <w:rPr>
          <w:rFonts w:ascii="宋体" w:hAnsi="宋体"/>
          <w:spacing w:val="2"/>
        </w:rPr>
        <w:t>12</w:t>
      </w:r>
      <w:r>
        <w:rPr>
          <w:rFonts w:hint="eastAsia" w:ascii="宋体" w:hAnsi="宋体"/>
          <w:spacing w:val="2"/>
        </w:rPr>
        <w:t>分钟左右，待嫩叶成条，老叶大部分成褶皱状时，细胞破损率达</w:t>
      </w:r>
      <w:r>
        <w:rPr>
          <w:rFonts w:ascii="宋体" w:hAnsi="宋体"/>
          <w:spacing w:val="2"/>
        </w:rPr>
        <w:t>15</w:t>
      </w:r>
      <w:r>
        <w:rPr>
          <w:rFonts w:hint="eastAsia" w:ascii="宋体" w:hAnsi="宋体"/>
          <w:spacing w:val="2"/>
        </w:rPr>
        <w:t>%～</w:t>
      </w:r>
      <w:r>
        <w:rPr>
          <w:rFonts w:ascii="宋体" w:hAnsi="宋体"/>
          <w:spacing w:val="2"/>
        </w:rPr>
        <w:t>30%</w:t>
      </w:r>
      <w:r>
        <w:rPr>
          <w:rFonts w:hint="eastAsia" w:ascii="宋体" w:hAnsi="宋体"/>
          <w:spacing w:val="2"/>
        </w:rPr>
        <w:t>为适度。</w:t>
      </w:r>
      <w:r>
        <w:rPr>
          <w:rFonts w:ascii="宋体"/>
          <w:spacing w:val="2"/>
        </w:rPr>
        <w:br w:type="textWrapping"/>
      </w:r>
      <w:r>
        <w:rPr>
          <w:rFonts w:ascii="黑体" w:hAnsi="黑体" w:eastAsia="黑体" w:cs="宋体"/>
          <w:kern w:val="0"/>
        </w:rPr>
        <w:t>12.</w:t>
      </w:r>
      <w:r>
        <w:rPr>
          <w:rFonts w:hint="eastAsia" w:ascii="黑体" w:hAnsi="黑体" w:eastAsia="黑体" w:cs="宋体"/>
          <w:kern w:val="0"/>
        </w:rPr>
        <w:t>2.4</w:t>
      </w:r>
      <w:r>
        <w:rPr>
          <w:rFonts w:ascii="黑体" w:hAnsi="黑体" w:eastAsia="黑体" w:cs="宋体"/>
          <w:kern w:val="0"/>
        </w:rPr>
        <w:t xml:space="preserve"> </w:t>
      </w:r>
      <w:r>
        <w:rPr>
          <w:rFonts w:hint="eastAsia" w:ascii="黑体" w:hAnsi="黑体" w:eastAsia="黑体" w:cs="宋体"/>
          <w:kern w:val="0"/>
        </w:rPr>
        <w:t>渥堆</w:t>
      </w:r>
    </w:p>
    <w:p w14:paraId="46B8E789">
      <w:pPr>
        <w:spacing w:line="380" w:lineRule="exact"/>
        <w:ind w:firstLine="428" w:firstLineChars="200"/>
        <w:rPr>
          <w:rFonts w:ascii="黑体" w:hAnsi="黑体" w:eastAsia="黑体" w:cs="宋体"/>
          <w:kern w:val="0"/>
        </w:rPr>
      </w:pPr>
      <w:r>
        <w:rPr>
          <w:rFonts w:hint="eastAsia" w:ascii="宋体" w:hAnsi="宋体"/>
          <w:spacing w:val="2"/>
        </w:rPr>
        <w:t>渥堆应在背窗、洁净的蔑垫上进行，避免阳光直射，室温</w:t>
      </w:r>
      <w:r>
        <w:rPr>
          <w:rFonts w:ascii="宋体" w:hAnsi="宋体"/>
          <w:spacing w:val="2"/>
        </w:rPr>
        <w:t>25</w:t>
      </w:r>
      <w:r>
        <w:rPr>
          <w:rFonts w:hint="eastAsia" w:ascii="宋体" w:hAnsi="宋体"/>
          <w:spacing w:val="2"/>
        </w:rPr>
        <w:t>℃左右，空气湿度</w:t>
      </w:r>
      <w:r>
        <w:rPr>
          <w:rFonts w:ascii="宋体" w:hAnsi="宋体"/>
          <w:spacing w:val="2"/>
        </w:rPr>
        <w:t>85%</w:t>
      </w:r>
      <w:r>
        <w:rPr>
          <w:rFonts w:hint="eastAsia" w:ascii="宋体" w:hAnsi="宋体"/>
          <w:spacing w:val="2"/>
        </w:rPr>
        <w:t>左右适宜。渥堆时间春季</w:t>
      </w:r>
      <w:r>
        <w:rPr>
          <w:rFonts w:ascii="宋体" w:hAnsi="宋体"/>
          <w:spacing w:val="2"/>
        </w:rPr>
        <w:t>12</w:t>
      </w:r>
      <w:r>
        <w:rPr>
          <w:rFonts w:hint="eastAsia" w:ascii="宋体" w:hAnsi="宋体"/>
          <w:spacing w:val="2"/>
        </w:rPr>
        <w:t>h～</w:t>
      </w:r>
      <w:r>
        <w:rPr>
          <w:rFonts w:ascii="宋体" w:hAnsi="宋体"/>
          <w:spacing w:val="2"/>
        </w:rPr>
        <w:t>18</w:t>
      </w:r>
      <w:r>
        <w:rPr>
          <w:rFonts w:hint="eastAsia" w:ascii="宋体" w:hAnsi="宋体"/>
          <w:spacing w:val="2"/>
        </w:rPr>
        <w:t>h，夏、秋季</w:t>
      </w:r>
      <w:r>
        <w:rPr>
          <w:rFonts w:ascii="宋体" w:hAnsi="宋体"/>
          <w:spacing w:val="2"/>
        </w:rPr>
        <w:t>8</w:t>
      </w:r>
      <w:r>
        <w:rPr>
          <w:rFonts w:hint="eastAsia" w:ascii="宋体" w:hAnsi="宋体"/>
          <w:spacing w:val="2"/>
        </w:rPr>
        <w:t>h～</w:t>
      </w:r>
      <w:r>
        <w:rPr>
          <w:rFonts w:ascii="宋体" w:hAnsi="宋体"/>
          <w:spacing w:val="2"/>
        </w:rPr>
        <w:t>12</w:t>
      </w:r>
      <w:r>
        <w:rPr>
          <w:rFonts w:hint="eastAsia" w:ascii="宋体" w:hAnsi="宋体"/>
          <w:spacing w:val="2"/>
        </w:rPr>
        <w:t>h。当茶坯叶色由暗绿变为黄褐，带有酒糟气或酸辣气味，茶团粘性变小，时即渥堆适度。</w:t>
      </w:r>
      <w:r>
        <w:rPr>
          <w:rFonts w:ascii="宋体"/>
          <w:spacing w:val="2"/>
        </w:rPr>
        <w:br w:type="textWrapping"/>
      </w:r>
      <w:r>
        <w:rPr>
          <w:rFonts w:ascii="黑体" w:hAnsi="黑体" w:eastAsia="黑体" w:cs="宋体"/>
          <w:kern w:val="0"/>
        </w:rPr>
        <w:t>12.</w:t>
      </w:r>
      <w:r>
        <w:rPr>
          <w:rFonts w:hint="eastAsia" w:ascii="黑体" w:hAnsi="黑体" w:eastAsia="黑体" w:cs="宋体"/>
          <w:kern w:val="0"/>
        </w:rPr>
        <w:t>2.5</w:t>
      </w:r>
      <w:r>
        <w:rPr>
          <w:rFonts w:ascii="黑体" w:hAnsi="黑体" w:eastAsia="黑体" w:cs="宋体"/>
          <w:kern w:val="0"/>
        </w:rPr>
        <w:t xml:space="preserve"> </w:t>
      </w:r>
      <w:r>
        <w:rPr>
          <w:rFonts w:hint="eastAsia" w:ascii="黑体" w:hAnsi="黑体" w:eastAsia="黑体" w:cs="宋体"/>
          <w:kern w:val="0"/>
        </w:rPr>
        <w:t>复揉</w:t>
      </w:r>
    </w:p>
    <w:p w14:paraId="5A35AA01">
      <w:pPr>
        <w:spacing w:line="380" w:lineRule="exact"/>
        <w:ind w:firstLine="428" w:firstLineChars="200"/>
        <w:rPr>
          <w:rFonts w:ascii="宋体"/>
          <w:spacing w:val="2"/>
        </w:rPr>
      </w:pPr>
      <w:r>
        <w:rPr>
          <w:rFonts w:hint="eastAsia" w:ascii="宋体" w:hAnsi="宋体"/>
          <w:spacing w:val="2"/>
        </w:rPr>
        <w:t>渥堆适度的茶坯经解决后，上机复揉，压力较初揉要稍小，复揉时间约</w:t>
      </w:r>
      <w:r>
        <w:rPr>
          <w:rFonts w:ascii="宋体" w:hAnsi="宋体"/>
          <w:spacing w:val="2"/>
        </w:rPr>
        <w:t>6</w:t>
      </w:r>
      <w:r>
        <w:rPr>
          <w:rFonts w:hint="eastAsia" w:ascii="宋体" w:hAnsi="宋体"/>
          <w:spacing w:val="2"/>
        </w:rPr>
        <w:t>～</w:t>
      </w:r>
      <w:r>
        <w:rPr>
          <w:rFonts w:ascii="宋体" w:hAnsi="宋体"/>
          <w:spacing w:val="2"/>
        </w:rPr>
        <w:t>8</w:t>
      </w:r>
      <w:r>
        <w:rPr>
          <w:rFonts w:hint="eastAsia" w:ascii="宋体" w:hAnsi="宋体"/>
          <w:spacing w:val="2"/>
        </w:rPr>
        <w:t>分钟。</w:t>
      </w:r>
      <w:r>
        <w:rPr>
          <w:rFonts w:ascii="宋体" w:hAnsi="宋体"/>
          <w:spacing w:val="2"/>
        </w:rPr>
        <w:t xml:space="preserve"> </w:t>
      </w:r>
    </w:p>
    <w:p w14:paraId="7578FF30">
      <w:pPr>
        <w:widowControl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12.</w:t>
      </w:r>
      <w:r>
        <w:rPr>
          <w:rFonts w:hint="eastAsia" w:ascii="黑体" w:hAnsi="黑体" w:eastAsia="黑体" w:cs="宋体"/>
          <w:kern w:val="0"/>
        </w:rPr>
        <w:t>2.6干燥</w:t>
      </w:r>
    </w:p>
    <w:p w14:paraId="77C60D98">
      <w:pPr>
        <w:widowControl w:val="0"/>
        <w:spacing w:line="380" w:lineRule="exact"/>
        <w:ind w:firstLine="428" w:firstLineChars="200"/>
        <w:rPr>
          <w:rFonts w:ascii="宋体"/>
          <w:spacing w:val="2"/>
        </w:rPr>
      </w:pPr>
      <w:r>
        <w:rPr>
          <w:rFonts w:hint="eastAsia" w:ascii="宋体" w:hAnsi="宋体"/>
          <w:spacing w:val="2"/>
        </w:rPr>
        <w:t>采用七星灶烘焙、自动烘干机干燥等方式进行。采用七星灶分层累加湿坯长时一次干燥，烘焙时间为</w:t>
      </w:r>
      <w:r>
        <w:rPr>
          <w:rFonts w:ascii="宋体" w:hAnsi="宋体"/>
          <w:spacing w:val="2"/>
        </w:rPr>
        <w:t>3</w:t>
      </w:r>
      <w:r>
        <w:rPr>
          <w:rFonts w:hint="eastAsia" w:ascii="宋体" w:hAnsi="宋体"/>
          <w:spacing w:val="2"/>
        </w:rPr>
        <w:t>h～</w:t>
      </w:r>
      <w:r>
        <w:rPr>
          <w:rFonts w:ascii="宋体" w:hAnsi="宋体"/>
          <w:spacing w:val="2"/>
        </w:rPr>
        <w:t>4</w:t>
      </w:r>
      <w:r>
        <w:rPr>
          <w:rFonts w:hint="eastAsia" w:ascii="宋体" w:hAnsi="宋体"/>
          <w:spacing w:val="2"/>
        </w:rPr>
        <w:t>h。采用自动烘干机干燥时，可分两次进行。初烘温度</w:t>
      </w:r>
      <w:r>
        <w:rPr>
          <w:rFonts w:ascii="宋体" w:hAnsi="宋体"/>
          <w:spacing w:val="2"/>
        </w:rPr>
        <w:t>130</w:t>
      </w:r>
      <w:r>
        <w:rPr>
          <w:rFonts w:hint="eastAsia" w:ascii="宋体" w:hAnsi="宋体"/>
          <w:spacing w:val="2"/>
        </w:rPr>
        <w:t>℃～</w:t>
      </w:r>
      <w:r>
        <w:rPr>
          <w:rFonts w:ascii="宋体" w:hAnsi="宋体"/>
          <w:spacing w:val="2"/>
        </w:rPr>
        <w:t>180</w:t>
      </w:r>
      <w:r>
        <w:rPr>
          <w:rFonts w:hint="eastAsia" w:ascii="宋体" w:hAnsi="宋体"/>
          <w:spacing w:val="2"/>
        </w:rPr>
        <w:t>℃，烘至</w:t>
      </w:r>
      <w:r>
        <w:rPr>
          <w:rFonts w:ascii="宋体" w:hAnsi="宋体"/>
          <w:spacing w:val="2"/>
        </w:rPr>
        <w:t>8</w:t>
      </w:r>
      <w:r>
        <w:rPr>
          <w:rFonts w:hint="eastAsia" w:ascii="宋体" w:hAnsi="宋体"/>
          <w:spacing w:val="2"/>
        </w:rPr>
        <w:t>成干，复烘温度</w:t>
      </w:r>
      <w:r>
        <w:rPr>
          <w:rFonts w:ascii="宋体" w:hAnsi="宋体"/>
          <w:spacing w:val="2"/>
        </w:rPr>
        <w:t>12</w:t>
      </w:r>
      <w:r>
        <w:rPr>
          <w:rFonts w:ascii="宋体"/>
          <w:spacing w:val="2"/>
        </w:rPr>
        <w:t>0</w:t>
      </w:r>
      <w:r>
        <w:rPr>
          <w:rFonts w:hint="eastAsia" w:ascii="宋体" w:hAnsi="宋体" w:cs="宋体"/>
          <w:spacing w:val="2"/>
        </w:rPr>
        <w:t>℃</w:t>
      </w:r>
      <w:r>
        <w:rPr>
          <w:rFonts w:hint="eastAsia" w:ascii="宋体" w:hAnsi="宋体"/>
          <w:spacing w:val="2"/>
        </w:rPr>
        <w:t>～</w:t>
      </w:r>
      <w:r>
        <w:rPr>
          <w:rFonts w:ascii="宋体" w:hAnsi="宋体"/>
          <w:spacing w:val="2"/>
        </w:rPr>
        <w:t>13</w:t>
      </w:r>
      <w:r>
        <w:rPr>
          <w:rFonts w:ascii="宋体"/>
          <w:spacing w:val="2"/>
        </w:rPr>
        <w:t>0</w:t>
      </w:r>
      <w:r>
        <w:rPr>
          <w:rFonts w:hint="eastAsia" w:ascii="宋体" w:hAnsi="宋体"/>
          <w:spacing w:val="2"/>
        </w:rPr>
        <w:t>℃，烘至足干。</w:t>
      </w:r>
    </w:p>
    <w:p w14:paraId="2B99AF20">
      <w:pPr>
        <w:spacing w:line="380" w:lineRule="exact"/>
        <w:rPr>
          <w:rFonts w:ascii="黑体" w:hAnsi="黑体" w:eastAsia="黑体"/>
          <w:spacing w:val="2"/>
        </w:rPr>
      </w:pPr>
      <w:r>
        <w:rPr>
          <w:rFonts w:ascii="黑体" w:hAnsi="黑体" w:eastAsia="黑体"/>
          <w:spacing w:val="2"/>
        </w:rPr>
        <w:t xml:space="preserve">13 </w:t>
      </w:r>
      <w:r>
        <w:rPr>
          <w:rFonts w:hint="eastAsia" w:ascii="黑体" w:hAnsi="黑体" w:eastAsia="黑体"/>
          <w:spacing w:val="2"/>
        </w:rPr>
        <w:t>生产</w:t>
      </w:r>
      <w:r>
        <w:rPr>
          <w:rFonts w:hint="eastAsia" w:ascii="黑体" w:hAnsi="黑体" w:eastAsia="黑体" w:cs="宋体"/>
          <w:kern w:val="0"/>
        </w:rPr>
        <w:t>废弃物</w:t>
      </w:r>
      <w:r>
        <w:rPr>
          <w:rFonts w:hint="eastAsia" w:ascii="黑体" w:hAnsi="黑体" w:eastAsia="黑体"/>
          <w:spacing w:val="2"/>
        </w:rPr>
        <w:t>的处理</w:t>
      </w:r>
    </w:p>
    <w:p w14:paraId="6342E836">
      <w:pPr>
        <w:spacing w:line="380" w:lineRule="exact"/>
        <w:ind w:firstLine="535" w:firstLineChars="250"/>
        <w:rPr>
          <w:rFonts w:ascii="宋体"/>
          <w:spacing w:val="2"/>
        </w:rPr>
      </w:pPr>
      <w:r>
        <w:rPr>
          <w:rFonts w:hint="eastAsia" w:ascii="宋体" w:hAnsi="宋体"/>
          <w:spacing w:val="2"/>
        </w:rPr>
        <w:t>茶园修剪等产生的废弃枝叶和间作产生的作物秸秆等应保留在茶园，要作为茶园覆盖物处理；茶园中废弃的地膜、肥料包装袋等应及时专门收集，集中处理；茶叶加工中产生的废弃物如茶末、茶梗等，应收集集中后进行无害化处理，如将茶末堆积作有机肥料还园，或销售给专业公司作为生产吸附剂、活性炭、动物饲料、食用菌培养基等。</w:t>
      </w:r>
    </w:p>
    <w:p w14:paraId="50B10BE4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14 </w:t>
      </w:r>
      <w:r>
        <w:rPr>
          <w:rFonts w:hint="eastAsia" w:ascii="黑体" w:hAnsi="黑体" w:eastAsia="黑体" w:cs="宋体"/>
          <w:kern w:val="0"/>
        </w:rPr>
        <w:t>包装、储藏和运输</w:t>
      </w:r>
    </w:p>
    <w:p w14:paraId="3E765E4C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14.1 </w:t>
      </w:r>
      <w:r>
        <w:rPr>
          <w:rFonts w:hint="eastAsia" w:ascii="黑体" w:hAnsi="黑体" w:eastAsia="黑体" w:cs="宋体"/>
          <w:kern w:val="0"/>
        </w:rPr>
        <w:t>包装</w:t>
      </w:r>
    </w:p>
    <w:p w14:paraId="78F9496C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产品包装标识应符合GB 7718的要求，绿色食品标志使用应符合NY/T 658的规定。提倡使用由木、竹、植物茎叶和纸制成的包装材料，可使用符合卫生要求的其他包装材料。绿色食品黑茶的包装材料应是食品级包装材料，不得使用含有合成杀菌剂、防腐剂和熏蒸剂的包装材料；不能使用接触过禁用物质的包装袋或盛装。包装应简单、实用，避免过度包装，应考虑包装材料的生物降解和回收利用。可使用二氧化碳和氮作为包装填充剂。</w:t>
      </w:r>
    </w:p>
    <w:p w14:paraId="6667EE72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>14.2</w:t>
      </w:r>
      <w:r>
        <w:rPr>
          <w:rFonts w:hint="eastAsia" w:ascii="黑体" w:hAnsi="黑体" w:eastAsia="黑体" w:cs="宋体"/>
          <w:kern w:val="0"/>
        </w:rPr>
        <w:t>储藏</w:t>
      </w:r>
    </w:p>
    <w:p w14:paraId="699FE82D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储藏条件应符合NY/T 1056的规定。绿色食品黑茶在储藏过程中不得受到其他物质的污染；储藏仓库（或冷库）应干净、无虫害、无有害物质残留。应在仓库内划出特定区域储藏绿色食品黑茶，不能与常规黑茶混放。</w:t>
      </w:r>
    </w:p>
    <w:p w14:paraId="141AA390">
      <w:pPr>
        <w:autoSpaceDE w:val="0"/>
        <w:autoSpaceDN w:val="0"/>
        <w:adjustRightInd w:val="0"/>
        <w:spacing w:line="380" w:lineRule="exact"/>
        <w:rPr>
          <w:rFonts w:ascii="黑体" w:hAnsi="黑体" w:eastAsia="黑体" w:cs="宋体"/>
          <w:kern w:val="0"/>
        </w:rPr>
      </w:pPr>
      <w:r>
        <w:rPr>
          <w:rFonts w:ascii="黑体" w:hAnsi="黑体" w:eastAsia="黑体" w:cs="宋体"/>
          <w:kern w:val="0"/>
        </w:rPr>
        <w:t xml:space="preserve">14.3 </w:t>
      </w:r>
      <w:r>
        <w:rPr>
          <w:rFonts w:hint="eastAsia" w:ascii="黑体" w:hAnsi="黑体" w:eastAsia="黑体" w:cs="宋体"/>
          <w:kern w:val="0"/>
        </w:rPr>
        <w:t>运输</w:t>
      </w:r>
    </w:p>
    <w:p w14:paraId="592E2BF7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运输工具应清洁、干燥；在运输过程中应避免与常规茶混杂或受到污染。</w:t>
      </w:r>
    </w:p>
    <w:p w14:paraId="35604439">
      <w:pPr>
        <w:autoSpaceDE w:val="0"/>
        <w:autoSpaceDN w:val="0"/>
        <w:adjustRightInd w:val="0"/>
        <w:spacing w:line="380" w:lineRule="exact"/>
        <w:rPr>
          <w:rFonts w:ascii="黑体" w:hAnsi="宋体" w:eastAsia="黑体" w:cs="宋体"/>
          <w:kern w:val="0"/>
        </w:rPr>
      </w:pPr>
      <w:r>
        <w:rPr>
          <w:rFonts w:ascii="黑体" w:hAnsi="宋体" w:eastAsia="黑体" w:cs="宋体"/>
          <w:kern w:val="0"/>
        </w:rPr>
        <w:t xml:space="preserve">15 </w:t>
      </w:r>
      <w:r>
        <w:rPr>
          <w:rFonts w:hint="eastAsia" w:ascii="黑体" w:hAnsi="宋体" w:eastAsia="黑体" w:cs="宋体"/>
          <w:kern w:val="0"/>
        </w:rPr>
        <w:t>生产档案</w:t>
      </w:r>
    </w:p>
    <w:p w14:paraId="153F8463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建立绿色食品黑茶生产档案，包括生产投入品采购、出入库、使用记录、农事记录、加工记录等。建立可追溯体系，生产、加工、储藏、销售等环节，有连续的、可追踪的生产批号系统，根据批号系统能查询到完整的档案记录。档案记录应保存</w:t>
      </w:r>
      <w:r>
        <w:rPr>
          <w:rFonts w:ascii="宋体" w:hAnsi="宋体" w:cs="宋体"/>
          <w:kern w:val="0"/>
        </w:rPr>
        <w:t>3</w:t>
      </w:r>
      <w:r>
        <w:rPr>
          <w:rFonts w:hint="eastAsia" w:ascii="宋体" w:hAnsi="宋体" w:cs="宋体"/>
          <w:kern w:val="0"/>
        </w:rPr>
        <w:t>年以上。</w:t>
      </w:r>
    </w:p>
    <w:p w14:paraId="1F45C66E">
      <w:pPr>
        <w:autoSpaceDE w:val="0"/>
        <w:autoSpaceDN w:val="0"/>
        <w:adjustRightInd w:val="0"/>
        <w:spacing w:line="380" w:lineRule="exact"/>
        <w:rPr>
          <w:rFonts w:ascii="宋体" w:cs="宋体"/>
          <w:kern w:val="0"/>
        </w:rPr>
      </w:pPr>
    </w:p>
    <w:p w14:paraId="419599E3">
      <w:pPr>
        <w:autoSpaceDE w:val="0"/>
        <w:autoSpaceDN w:val="0"/>
        <w:adjustRightInd w:val="0"/>
        <w:spacing w:line="520" w:lineRule="exact"/>
        <w:rPr>
          <w:rFonts w:ascii="宋体" w:cs="宋体"/>
          <w:kern w:val="0"/>
        </w:rPr>
      </w:pPr>
    </w:p>
    <w:p w14:paraId="029BBEAD">
      <w:pPr>
        <w:autoSpaceDE w:val="0"/>
        <w:autoSpaceDN w:val="0"/>
        <w:adjustRightInd w:val="0"/>
        <w:spacing w:line="520" w:lineRule="exact"/>
        <w:rPr>
          <w:rFonts w:ascii="宋体" w:cs="宋体"/>
          <w:kern w:val="0"/>
        </w:rPr>
      </w:pPr>
    </w:p>
    <w:p w14:paraId="134C93AA">
      <w:pPr>
        <w:autoSpaceDE w:val="0"/>
        <w:autoSpaceDN w:val="0"/>
        <w:adjustRightInd w:val="0"/>
        <w:spacing w:line="520" w:lineRule="exact"/>
        <w:rPr>
          <w:rFonts w:ascii="宋体" w:cs="宋体"/>
          <w:kern w:val="0"/>
        </w:rPr>
      </w:pPr>
    </w:p>
    <w:p w14:paraId="6E52C663">
      <w:pPr>
        <w:spacing w:line="520" w:lineRule="exact"/>
        <w:jc w:val="center"/>
        <w:rPr>
          <w:sz w:val="24"/>
        </w:rPr>
      </w:pPr>
      <w:r>
        <w:rPr>
          <w:rFonts w:hint="eastAsia"/>
          <w:sz w:val="24"/>
        </w:rPr>
        <w:t>　</w:t>
      </w:r>
    </w:p>
    <w:p w14:paraId="40827006">
      <w:pPr>
        <w:spacing w:line="520" w:lineRule="exact"/>
        <w:jc w:val="center"/>
        <w:rPr>
          <w:sz w:val="24"/>
        </w:rPr>
      </w:pPr>
    </w:p>
    <w:p w14:paraId="154DF1B8">
      <w:pPr>
        <w:spacing w:line="520" w:lineRule="exact"/>
        <w:jc w:val="center"/>
        <w:rPr>
          <w:sz w:val="24"/>
        </w:rPr>
      </w:pPr>
    </w:p>
    <w:p w14:paraId="41684027">
      <w:pPr>
        <w:spacing w:line="520" w:lineRule="exact"/>
        <w:jc w:val="center"/>
        <w:rPr>
          <w:sz w:val="24"/>
        </w:rPr>
      </w:pPr>
    </w:p>
    <w:p w14:paraId="49B74F33">
      <w:pPr>
        <w:spacing w:line="520" w:lineRule="exact"/>
        <w:jc w:val="center"/>
        <w:rPr>
          <w:sz w:val="24"/>
        </w:rPr>
      </w:pPr>
    </w:p>
    <w:p w14:paraId="2F7A5706">
      <w:pPr>
        <w:spacing w:line="520" w:lineRule="exact"/>
        <w:jc w:val="center"/>
        <w:rPr>
          <w:sz w:val="24"/>
        </w:rPr>
      </w:pPr>
    </w:p>
    <w:p w14:paraId="52DF15DB">
      <w:pPr>
        <w:pStyle w:val="24"/>
        <w:spacing w:line="240" w:lineRule="auto"/>
        <w:ind w:firstLine="0" w:firstLineChars="0"/>
        <w:contextualSpacing/>
        <w:jc w:val="center"/>
        <w:rPr>
          <w:rFonts w:ascii="黑体" w:hAnsi="黑体" w:eastAsia="黑体" w:cs="宋体"/>
        </w:rPr>
      </w:pPr>
    </w:p>
    <w:p w14:paraId="603F2BB6">
      <w:pPr>
        <w:pStyle w:val="24"/>
        <w:spacing w:line="240" w:lineRule="auto"/>
        <w:ind w:firstLine="0" w:firstLineChars="0"/>
        <w:contextualSpacing/>
        <w:jc w:val="center"/>
        <w:rPr>
          <w:rFonts w:ascii="黑体" w:hAnsi="黑体" w:eastAsia="黑体" w:cs="宋体"/>
        </w:rPr>
      </w:pPr>
      <w:r>
        <w:rPr>
          <w:rFonts w:hint="eastAsia" w:ascii="黑体" w:hAnsi="黑体" w:eastAsia="黑体" w:cs="宋体"/>
        </w:rPr>
        <w:t>附录</w:t>
      </w:r>
      <w:r>
        <w:rPr>
          <w:rFonts w:ascii="黑体" w:hAnsi="黑体" w:eastAsia="黑体" w:cs="宋体"/>
        </w:rPr>
        <w:t>A</w:t>
      </w:r>
    </w:p>
    <w:p w14:paraId="7E2F1BC6">
      <w:pPr>
        <w:pStyle w:val="24"/>
        <w:spacing w:line="240" w:lineRule="auto"/>
        <w:ind w:firstLine="0" w:firstLineChars="0"/>
        <w:contextualSpacing/>
        <w:jc w:val="center"/>
        <w:rPr>
          <w:rFonts w:ascii="黑体" w:hAnsi="黑体" w:eastAsia="黑体" w:cs="宋体"/>
        </w:rPr>
      </w:pPr>
      <w:r>
        <w:rPr>
          <w:rFonts w:hint="eastAsia" w:ascii="黑体" w:eastAsia="黑体"/>
        </w:rPr>
        <w:t>（资料性附录）</w:t>
      </w:r>
    </w:p>
    <w:p w14:paraId="70179A64">
      <w:pPr>
        <w:pStyle w:val="24"/>
        <w:spacing w:line="240" w:lineRule="auto"/>
        <w:ind w:firstLine="0" w:firstLineChars="0"/>
        <w:contextualSpacing/>
        <w:jc w:val="center"/>
        <w:rPr>
          <w:rFonts w:ascii="黑体" w:hAnsi="黑体" w:eastAsia="黑体" w:cs="宋体"/>
        </w:rPr>
      </w:pPr>
      <w:r>
        <w:rPr>
          <w:rFonts w:hint="eastAsia" w:ascii="黑体" w:hAnsi="黑体" w:eastAsia="黑体" w:cs="宋体"/>
        </w:rPr>
        <w:t>湖南湖北绿色食品黑茶生产的茶树品种及特性</w:t>
      </w:r>
    </w:p>
    <w:p w14:paraId="00A0DF5D">
      <w:pPr>
        <w:pStyle w:val="24"/>
        <w:spacing w:line="240" w:lineRule="auto"/>
        <w:ind w:firstLine="0" w:firstLineChars="0"/>
        <w:contextualSpacing/>
        <w:jc w:val="center"/>
        <w:rPr>
          <w:rFonts w:ascii="黑体" w:hAnsi="黑体" w:eastAsia="黑体" w:cs="宋体"/>
        </w:rPr>
      </w:pPr>
    </w:p>
    <w:tbl>
      <w:tblPr>
        <w:tblStyle w:val="10"/>
        <w:tblW w:w="85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1843"/>
        <w:gridCol w:w="4111"/>
      </w:tblGrid>
      <w:tr w14:paraId="64DF4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3" w:type="dxa"/>
            <w:vAlign w:val="center"/>
          </w:tcPr>
          <w:p w14:paraId="5B9A5C8C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编号</w:t>
            </w:r>
          </w:p>
        </w:tc>
        <w:tc>
          <w:tcPr>
            <w:tcW w:w="1559" w:type="dxa"/>
            <w:vAlign w:val="center"/>
          </w:tcPr>
          <w:p w14:paraId="67F0B811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品种名称</w:t>
            </w:r>
          </w:p>
        </w:tc>
        <w:tc>
          <w:tcPr>
            <w:tcW w:w="1843" w:type="dxa"/>
            <w:vAlign w:val="center"/>
          </w:tcPr>
          <w:p w14:paraId="063483B0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原产地或选育单位</w:t>
            </w:r>
          </w:p>
        </w:tc>
        <w:tc>
          <w:tcPr>
            <w:tcW w:w="4111" w:type="dxa"/>
          </w:tcPr>
          <w:p w14:paraId="705D969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特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性</w:t>
            </w:r>
          </w:p>
        </w:tc>
      </w:tr>
      <w:tr w14:paraId="7BEC4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35F2D85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0A092D13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槠叶齐</w:t>
            </w:r>
          </w:p>
        </w:tc>
        <w:tc>
          <w:tcPr>
            <w:tcW w:w="1843" w:type="dxa"/>
            <w:vAlign w:val="center"/>
          </w:tcPr>
          <w:p w14:paraId="4425187C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湖南省茶叶研究所</w:t>
            </w:r>
          </w:p>
        </w:tc>
        <w:tc>
          <w:tcPr>
            <w:tcW w:w="4111" w:type="dxa"/>
            <w:vAlign w:val="center"/>
          </w:tcPr>
          <w:p w14:paraId="424A15A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中生，中叶，叶色黄绿，芽叶生育力和持嫩性强，内容物丰富，产量高，抗逆性强。</w:t>
            </w:r>
          </w:p>
        </w:tc>
      </w:tr>
      <w:tr w14:paraId="0033B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2488D491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073F0590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碧香早</w:t>
            </w:r>
          </w:p>
        </w:tc>
        <w:tc>
          <w:tcPr>
            <w:tcW w:w="1843" w:type="dxa"/>
            <w:vAlign w:val="center"/>
          </w:tcPr>
          <w:p w14:paraId="15249DC4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湖南省茶叶研究所</w:t>
            </w:r>
          </w:p>
        </w:tc>
        <w:tc>
          <w:tcPr>
            <w:tcW w:w="4111" w:type="dxa"/>
            <w:vAlign w:val="center"/>
          </w:tcPr>
          <w:p w14:paraId="0390DD6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早生种、叶浅绿，茸毛多，产量较高，内含物丰富，香气高，抗旱抗寒性较强。</w:t>
            </w:r>
          </w:p>
        </w:tc>
      </w:tr>
      <w:tr w14:paraId="241BF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2B45E7F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6C9769E5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槠叶齐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9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号</w:t>
            </w:r>
          </w:p>
        </w:tc>
        <w:tc>
          <w:tcPr>
            <w:tcW w:w="1843" w:type="dxa"/>
            <w:vAlign w:val="center"/>
          </w:tcPr>
          <w:p w14:paraId="193D2D02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湖南省茶叶研究所</w:t>
            </w:r>
          </w:p>
        </w:tc>
        <w:tc>
          <w:tcPr>
            <w:tcW w:w="4111" w:type="dxa"/>
            <w:vAlign w:val="center"/>
          </w:tcPr>
          <w:p w14:paraId="6251C75D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中生，中叶，叶色黄绿，芽叶生育力和持嫩性强，内容物丰富，产量高，抗逆性强。</w:t>
            </w:r>
          </w:p>
        </w:tc>
      </w:tr>
      <w:tr w14:paraId="7C80F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64BD7F17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0DC00E4F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茗丰</w:t>
            </w:r>
          </w:p>
        </w:tc>
        <w:tc>
          <w:tcPr>
            <w:tcW w:w="1843" w:type="dxa"/>
            <w:vAlign w:val="center"/>
          </w:tcPr>
          <w:p w14:paraId="0E74AB62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湖南省茶叶研究所</w:t>
            </w:r>
          </w:p>
        </w:tc>
        <w:tc>
          <w:tcPr>
            <w:tcW w:w="4111" w:type="dxa"/>
            <w:vAlign w:val="center"/>
          </w:tcPr>
          <w:p w14:paraId="589E63D8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中生，中叶，芽叶绿色，茸毛较多，持嫩性较强，芽叶生育力强，抗寒、抗旱和适应性强。</w:t>
            </w:r>
          </w:p>
        </w:tc>
      </w:tr>
      <w:tr w14:paraId="7D43D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147D511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482817C9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黄金茶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号</w:t>
            </w:r>
          </w:p>
        </w:tc>
        <w:tc>
          <w:tcPr>
            <w:tcW w:w="1843" w:type="dxa"/>
            <w:vAlign w:val="center"/>
          </w:tcPr>
          <w:p w14:paraId="316D1F59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湖南省茶叶研究所</w:t>
            </w:r>
          </w:p>
        </w:tc>
        <w:tc>
          <w:tcPr>
            <w:tcW w:w="4111" w:type="dxa"/>
            <w:vAlign w:val="center"/>
          </w:tcPr>
          <w:p w14:paraId="23D02834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特早，中叶，发芽密度大、整齐，芽叶黄绿，茸毛中，持嫩性强。内容物丰富，氨基酸含量高。</w:t>
            </w:r>
          </w:p>
        </w:tc>
      </w:tr>
      <w:tr w14:paraId="2928D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24262D6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14:paraId="29D59047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尖波黄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号</w:t>
            </w:r>
          </w:p>
        </w:tc>
        <w:tc>
          <w:tcPr>
            <w:tcW w:w="1843" w:type="dxa"/>
            <w:vAlign w:val="center"/>
          </w:tcPr>
          <w:p w14:paraId="43FF37B3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湖南省茶叶研究所</w:t>
            </w:r>
          </w:p>
        </w:tc>
        <w:tc>
          <w:tcPr>
            <w:tcW w:w="4111" w:type="dxa"/>
            <w:vAlign w:val="center"/>
          </w:tcPr>
          <w:p w14:paraId="548B1BB5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中叶类，早生种，芽叶黄绿色，茸毛较多，抗寒性强。</w:t>
            </w:r>
          </w:p>
        </w:tc>
      </w:tr>
      <w:tr w14:paraId="4E155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3925676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14:paraId="160AB593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云台山大叶种</w:t>
            </w:r>
          </w:p>
        </w:tc>
        <w:tc>
          <w:tcPr>
            <w:tcW w:w="1843" w:type="dxa"/>
            <w:vAlign w:val="center"/>
          </w:tcPr>
          <w:p w14:paraId="6F29D83D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湖南安化</w:t>
            </w:r>
          </w:p>
        </w:tc>
        <w:tc>
          <w:tcPr>
            <w:tcW w:w="4111" w:type="dxa"/>
            <w:vAlign w:val="center"/>
          </w:tcPr>
          <w:p w14:paraId="6E66BE5F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中生，大叶类，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叶色黄绿，内容物丰富，抗逆性较强。</w:t>
            </w:r>
          </w:p>
        </w:tc>
      </w:tr>
      <w:tr w14:paraId="0D63C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0C9C3028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14:paraId="1725182A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桃源大叶</w:t>
            </w:r>
          </w:p>
        </w:tc>
        <w:tc>
          <w:tcPr>
            <w:tcW w:w="1843" w:type="dxa"/>
            <w:vAlign w:val="center"/>
          </w:tcPr>
          <w:p w14:paraId="310C24A2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湖南桃源</w:t>
            </w:r>
          </w:p>
        </w:tc>
        <w:tc>
          <w:tcPr>
            <w:tcW w:w="4111" w:type="dxa"/>
            <w:vAlign w:val="center"/>
          </w:tcPr>
          <w:p w14:paraId="3A4F36D3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大叶类，早生种，色黄绿，发芽密度小，芽叶生育力强，持嫩性强。产量中，抗寒、抗旱性强。</w:t>
            </w:r>
          </w:p>
        </w:tc>
      </w:tr>
      <w:tr w14:paraId="6D684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073A55F8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14:paraId="5538D635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福鼎大白茶</w:t>
            </w:r>
          </w:p>
        </w:tc>
        <w:tc>
          <w:tcPr>
            <w:tcW w:w="1843" w:type="dxa"/>
            <w:vAlign w:val="center"/>
          </w:tcPr>
          <w:p w14:paraId="24FCCBF5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福建福鼎</w:t>
            </w:r>
          </w:p>
        </w:tc>
        <w:tc>
          <w:tcPr>
            <w:tcW w:w="4111" w:type="dxa"/>
            <w:vAlign w:val="center"/>
          </w:tcPr>
          <w:p w14:paraId="162ABE13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中叶，早生，芽叶黄绿色，茸毛特多，持嫩性强，产量高，抗寒、旱性强。</w:t>
            </w:r>
          </w:p>
        </w:tc>
      </w:tr>
      <w:tr w14:paraId="23E7C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00A8F3C8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0B4AB465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鄂茶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号</w:t>
            </w:r>
          </w:p>
        </w:tc>
        <w:tc>
          <w:tcPr>
            <w:tcW w:w="1843" w:type="dxa"/>
            <w:vAlign w:val="center"/>
          </w:tcPr>
          <w:p w14:paraId="373F6CD9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湖北农业科学院</w:t>
            </w:r>
          </w:p>
        </w:tc>
        <w:tc>
          <w:tcPr>
            <w:tcW w:w="4111" w:type="dxa"/>
            <w:vAlign w:val="center"/>
          </w:tcPr>
          <w:p w14:paraId="59EB5CA7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中叶，中生，芽叶黄绿色，茸毛中等，持嫩性强，产量高，抗寒、旱性强。</w:t>
            </w:r>
          </w:p>
        </w:tc>
      </w:tr>
      <w:tr w14:paraId="7D308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2EE1C741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5D331437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鄂茶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号</w:t>
            </w:r>
          </w:p>
        </w:tc>
        <w:tc>
          <w:tcPr>
            <w:tcW w:w="1843" w:type="dxa"/>
            <w:vAlign w:val="center"/>
          </w:tcPr>
          <w:p w14:paraId="70BC6B90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湖北咸宁</w:t>
            </w:r>
          </w:p>
        </w:tc>
        <w:tc>
          <w:tcPr>
            <w:tcW w:w="4111" w:type="dxa"/>
            <w:vAlign w:val="center"/>
          </w:tcPr>
          <w:p w14:paraId="277D333F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中叶，特早生，芽叶黄绿色，茸毛多，持嫩性强，产量高。</w:t>
            </w:r>
          </w:p>
        </w:tc>
      </w:tr>
      <w:tr w14:paraId="24A4C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Align w:val="center"/>
          </w:tcPr>
          <w:p w14:paraId="7D4C59F0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172465BB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鄂茶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号</w:t>
            </w:r>
          </w:p>
        </w:tc>
        <w:tc>
          <w:tcPr>
            <w:tcW w:w="1843" w:type="dxa"/>
            <w:vAlign w:val="center"/>
          </w:tcPr>
          <w:p w14:paraId="0BD7ABCF"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湖北咸宁</w:t>
            </w:r>
          </w:p>
        </w:tc>
        <w:tc>
          <w:tcPr>
            <w:tcW w:w="4111" w:type="dxa"/>
            <w:vAlign w:val="center"/>
          </w:tcPr>
          <w:p w14:paraId="13528234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中叶，早生，芽叶黄绿色，茸毛较少，产量高。</w:t>
            </w:r>
          </w:p>
        </w:tc>
      </w:tr>
    </w:tbl>
    <w:p w14:paraId="53B37AC2">
      <w:pPr>
        <w:spacing w:line="520" w:lineRule="exact"/>
        <w:jc w:val="center"/>
        <w:rPr>
          <w:sz w:val="24"/>
        </w:rPr>
      </w:pPr>
    </w:p>
    <w:p w14:paraId="24741083">
      <w:pPr>
        <w:spacing w:line="520" w:lineRule="exact"/>
        <w:jc w:val="center"/>
        <w:rPr>
          <w:sz w:val="24"/>
        </w:rPr>
      </w:pPr>
    </w:p>
    <w:p w14:paraId="485176C2">
      <w:pPr>
        <w:spacing w:line="520" w:lineRule="exact"/>
        <w:jc w:val="center"/>
        <w:rPr>
          <w:sz w:val="24"/>
        </w:rPr>
      </w:pPr>
    </w:p>
    <w:p w14:paraId="25AC26BA">
      <w:pPr>
        <w:spacing w:line="520" w:lineRule="exact"/>
        <w:jc w:val="center"/>
        <w:rPr>
          <w:sz w:val="24"/>
        </w:rPr>
      </w:pPr>
    </w:p>
    <w:p w14:paraId="224E5A50">
      <w:pPr>
        <w:spacing w:line="520" w:lineRule="exact"/>
        <w:jc w:val="center"/>
        <w:rPr>
          <w:sz w:val="24"/>
        </w:rPr>
      </w:pPr>
    </w:p>
    <w:p w14:paraId="614B896F">
      <w:pPr>
        <w:spacing w:line="520" w:lineRule="exact"/>
        <w:jc w:val="center"/>
        <w:rPr>
          <w:sz w:val="24"/>
        </w:rPr>
      </w:pPr>
    </w:p>
    <w:p w14:paraId="00DA4804">
      <w:pPr>
        <w:spacing w:line="240" w:lineRule="auto"/>
        <w:jc w:val="center"/>
        <w:rPr>
          <w:rFonts w:ascii="黑体" w:eastAsia="黑体"/>
        </w:rPr>
      </w:pPr>
    </w:p>
    <w:p w14:paraId="757C1A1F">
      <w:pPr>
        <w:spacing w:line="240" w:lineRule="auto"/>
        <w:jc w:val="center"/>
        <w:rPr>
          <w:rFonts w:ascii="黑体" w:eastAsia="黑体"/>
        </w:rPr>
      </w:pPr>
      <w:r>
        <w:rPr>
          <w:rFonts w:hint="eastAsia" w:ascii="黑体" w:eastAsia="黑体"/>
        </w:rPr>
        <w:t>附录</w:t>
      </w:r>
      <w:r>
        <w:rPr>
          <w:rFonts w:ascii="黑体" w:eastAsia="黑体"/>
        </w:rPr>
        <w:t>B</w:t>
      </w:r>
    </w:p>
    <w:p w14:paraId="49A2F855">
      <w:pPr>
        <w:spacing w:line="240" w:lineRule="auto"/>
        <w:jc w:val="center"/>
        <w:rPr>
          <w:rFonts w:ascii="黑体" w:eastAsia="黑体"/>
        </w:rPr>
      </w:pPr>
      <w:r>
        <w:rPr>
          <w:rFonts w:hint="eastAsia" w:ascii="黑体" w:eastAsia="黑体"/>
        </w:rPr>
        <w:t>（资料性附录）</w:t>
      </w:r>
    </w:p>
    <w:p w14:paraId="07E6FE1F">
      <w:pPr>
        <w:spacing w:line="240" w:lineRule="auto"/>
        <w:jc w:val="center"/>
      </w:pPr>
      <w:r>
        <w:rPr>
          <w:rFonts w:hint="eastAsia" w:ascii="黑体" w:eastAsia="黑体" w:cs="黑体"/>
          <w:bCs/>
        </w:rPr>
        <w:t>湖南湖北绿色食品黑茶生产</w:t>
      </w:r>
      <w:bookmarkStart w:id="3" w:name="OLE_LINK38"/>
      <w:bookmarkStart w:id="4" w:name="OLE_LINK37"/>
      <w:r>
        <w:rPr>
          <w:rFonts w:hint="eastAsia" w:ascii="黑体" w:eastAsia="黑体" w:cs="黑体"/>
          <w:bCs/>
        </w:rPr>
        <w:t>主要病虫害防治</w:t>
      </w:r>
      <w:bookmarkEnd w:id="3"/>
      <w:bookmarkEnd w:id="4"/>
      <w:r>
        <w:rPr>
          <w:rFonts w:hint="eastAsia" w:ascii="黑体" w:eastAsia="黑体" w:cs="黑体"/>
          <w:bCs/>
        </w:rPr>
        <w:t>药剂</w:t>
      </w:r>
    </w:p>
    <w:tbl>
      <w:tblPr>
        <w:tblStyle w:val="10"/>
        <w:tblW w:w="1070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984"/>
        <w:gridCol w:w="2126"/>
        <w:gridCol w:w="1559"/>
        <w:gridCol w:w="992"/>
        <w:gridCol w:w="1134"/>
        <w:gridCol w:w="1489"/>
      </w:tblGrid>
      <w:tr w14:paraId="60AB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462" w:hRule="atLeast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9D3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主要防治对象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851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防治时期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DF3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农药名称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FA8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使用剂量</w:t>
            </w:r>
          </w:p>
          <w:p w14:paraId="53BC7259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 (g)/亩、倍液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B84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施药方法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5C8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安全间隔期</w:t>
            </w:r>
          </w:p>
          <w:p w14:paraId="73DAA9A9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天数</w:t>
            </w:r>
          </w:p>
        </w:tc>
      </w:tr>
      <w:tr w14:paraId="19BC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320" w:hRule="atLeast"/>
        </w:trPr>
        <w:tc>
          <w:tcPr>
            <w:tcW w:w="14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5F25A8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灰茶尺蠖、茶刺蛾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AC7DAC">
            <w:pPr>
              <w:spacing w:before="240"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喷施茶尺蠖病毒制剂应掌握在1龄～2龄幼虫期，喷施化学农药或植物源农药掌握在3龄前幼虫期；茶刺蛾在2、3龄幼虫期防治为宜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8480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20%除虫脲悬浮剂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969A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1500-2000倍液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89DF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A871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</w:t>
            </w:r>
          </w:p>
        </w:tc>
      </w:tr>
      <w:tr w14:paraId="47F7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538" w:hRule="atLeast"/>
        </w:trPr>
        <w:tc>
          <w:tcPr>
            <w:tcW w:w="1419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8F75A40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2225B1">
            <w:pPr>
              <w:spacing w:before="240"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BEC8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核型多角体病毒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ECAD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400-700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DDE9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90F8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</w:t>
            </w:r>
          </w:p>
        </w:tc>
      </w:tr>
      <w:tr w14:paraId="66FB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484" w:hRule="atLeast"/>
        </w:trPr>
        <w:tc>
          <w:tcPr>
            <w:tcW w:w="1419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8D8947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1158F7">
            <w:pPr>
              <w:spacing w:before="240"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0AC4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短稳杆菌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B94F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500-700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204F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60B5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</w:t>
            </w:r>
          </w:p>
        </w:tc>
      </w:tr>
      <w:tr w14:paraId="513B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 w14:paraId="53DCF357">
            <w:pPr>
              <w:spacing w:before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  <w:vAlign w:val="center"/>
          </w:tcPr>
          <w:p w14:paraId="44D62667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901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0.5%苦参碱水剂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839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70ml～90ml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064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106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</w:t>
            </w:r>
          </w:p>
        </w:tc>
        <w:tc>
          <w:tcPr>
            <w:tcW w:w="1489" w:type="dxa"/>
            <w:vAlign w:val="center"/>
          </w:tcPr>
          <w:p w14:paraId="3397F1F9">
            <w:pPr>
              <w:spacing w:before="100" w:beforeAutospacing="1" w:after="100" w:afterAutospacing="1"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 w14:paraId="0C4B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 w14:paraId="5A300D5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  <w:vAlign w:val="center"/>
          </w:tcPr>
          <w:p w14:paraId="25B3A70E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352A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1%苦皮藤素水乳剂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0A84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30-40毫升/亩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54FA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F553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89" w:type="dxa"/>
            <w:vAlign w:val="center"/>
          </w:tcPr>
          <w:p w14:paraId="31ABAC3E">
            <w:pPr>
              <w:spacing w:before="100" w:beforeAutospacing="1" w:after="100" w:afterAutospacing="1"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 w14:paraId="1F37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90" w:hRule="atLeast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 w14:paraId="59DADE36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  <w:vAlign w:val="center"/>
          </w:tcPr>
          <w:p w14:paraId="04B66441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1C0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0.4%蛇床子素乳油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C43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100-120克/亩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167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90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/</w:t>
            </w:r>
          </w:p>
        </w:tc>
      </w:tr>
      <w:tr w14:paraId="2F9A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607" w:hRule="atLeast"/>
        </w:trPr>
        <w:tc>
          <w:tcPr>
            <w:tcW w:w="14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EA7148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茶小绿叶蝉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4886B1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施药适期掌握在入峰后(高峰前期)，且若虫占总量的80%以上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110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bookmarkStart w:id="5" w:name="OLE_LINK32"/>
            <w:bookmarkStart w:id="6" w:name="OLE_LINK33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150亿孢子/克球孢白僵菌悬浮剂</w:t>
            </w:r>
            <w:bookmarkEnd w:id="5"/>
            <w:bookmarkEnd w:id="6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CBA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50-90毫升/亩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6A1C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bookmarkStart w:id="7" w:name="OLE_LINK52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喷雾</w:t>
            </w:r>
            <w:bookmarkEnd w:id="7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2621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/</w:t>
            </w:r>
          </w:p>
        </w:tc>
      </w:tr>
      <w:tr w14:paraId="227A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607" w:hRule="atLeast"/>
        </w:trPr>
        <w:tc>
          <w:tcPr>
            <w:tcW w:w="1419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803346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CD0486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2EB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黎芦碱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408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0.2%可溶性液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cr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剂800倍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1CF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6F92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 w14:paraId="4009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417" w:hRule="atLeast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 w14:paraId="0F585E2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  <w:vAlign w:val="center"/>
          </w:tcPr>
          <w:p w14:paraId="3C4EF1BA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19B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25%噻虫嗪悬浮剂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90E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4-6毫升/亩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BD1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bookmarkStart w:id="8" w:name="OLE_LINK35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喷雾</w:t>
            </w:r>
            <w:bookmarkEnd w:id="8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C8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</w:t>
            </w:r>
          </w:p>
        </w:tc>
      </w:tr>
      <w:tr w14:paraId="3929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423" w:hRule="atLeast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 w14:paraId="3EC28DF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  <w:vAlign w:val="center"/>
          </w:tcPr>
          <w:p w14:paraId="13B6FE96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9DFA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240克/亩虫螨腈悬浮剂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FFD7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21-25毫升/亩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EA46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15B2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7</w:t>
            </w:r>
          </w:p>
        </w:tc>
      </w:tr>
      <w:tr w14:paraId="5AA1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312" w:hRule="atLeast"/>
        </w:trPr>
        <w:tc>
          <w:tcPr>
            <w:tcW w:w="14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BE520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744E09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263E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150克/升茚虫威乳油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0304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17ml～22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73C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5398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</w:t>
            </w:r>
          </w:p>
        </w:tc>
      </w:tr>
      <w:tr w14:paraId="3772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364" w:hRule="atLeast"/>
        </w:trPr>
        <w:tc>
          <w:tcPr>
            <w:tcW w:w="14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A1EE7D">
            <w:pPr>
              <w:spacing w:after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茶毛虫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4FFBF1">
            <w:pPr>
              <w:spacing w:after="240"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3龄前幼虫期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1DB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0.5%苦参碱水剂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360C">
            <w:pPr>
              <w:spacing w:before="100" w:beforeAutospacing="1" w:after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70ml～90ml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F02D">
            <w:pPr>
              <w:spacing w:before="100" w:beforeAutospacing="1" w:after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bookmarkStart w:id="9" w:name="OLE_LINK54"/>
            <w:bookmarkStart w:id="10" w:name="OLE_LINK55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  <w:bookmarkEnd w:id="9"/>
            <w:bookmarkEnd w:id="1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45C7">
            <w:pPr>
              <w:spacing w:before="100" w:beforeAutospacing="1" w:after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</w:t>
            </w:r>
          </w:p>
        </w:tc>
      </w:tr>
      <w:tr w14:paraId="7279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90" w:hRule="atLeast"/>
        </w:trPr>
        <w:tc>
          <w:tcPr>
            <w:tcW w:w="1419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C01BC6">
            <w:pPr>
              <w:spacing w:after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DB289A">
            <w:pPr>
              <w:spacing w:after="240"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A8E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茶毛核·苏云菌，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F8A8">
            <w:pPr>
              <w:spacing w:before="100" w:beforeAutospacing="1" w:after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00-700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77F9">
            <w:pPr>
              <w:spacing w:before="100" w:beforeAutospacing="1" w:after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301E">
            <w:pPr>
              <w:spacing w:before="100" w:beforeAutospacing="1" w:after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DB6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312" w:hRule="atLeast"/>
        </w:trPr>
        <w:tc>
          <w:tcPr>
            <w:tcW w:w="1419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3D91B5">
            <w:pPr>
              <w:spacing w:after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AE46EA">
            <w:pPr>
              <w:spacing w:after="240"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0FB1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短稳杆菌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CF9E">
            <w:pPr>
              <w:spacing w:before="100" w:beforeAutospacing="1" w:after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00-700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32D9">
            <w:pPr>
              <w:spacing w:before="100" w:beforeAutospacing="1" w:after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DE7F">
            <w:pPr>
              <w:spacing w:before="100" w:beforeAutospacing="1" w:after="240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575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525" w:hRule="atLeast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 w14:paraId="5D5FAFC6">
            <w:pPr>
              <w:spacing w:after="240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  <w:vAlign w:val="center"/>
          </w:tcPr>
          <w:p w14:paraId="4072B251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476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苏云金杆菌（Bt）制剂（16000IU/mg）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D51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800～1600倍液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F059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3FC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</w:tr>
      <w:tr w14:paraId="4345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331" w:hRule="atLeast"/>
        </w:trPr>
        <w:tc>
          <w:tcPr>
            <w:tcW w:w="14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24946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FA1D7B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859D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0.3%印楝素乳油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03CB"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120-150毫升/亩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6B71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CDD6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/</w:t>
            </w:r>
          </w:p>
        </w:tc>
      </w:tr>
      <w:tr w14:paraId="1A7A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</w:trPr>
        <w:tc>
          <w:tcPr>
            <w:tcW w:w="14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01AB1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茶橙瘿螨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1F1F5BE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发生高峰期以前，一般为5月中旬至6月上旬，8月下旬至9月上旬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9293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99%矿物油乳油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2862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300-500g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6568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bookmarkStart w:id="11" w:name="OLE_LINK34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喷雾</w:t>
            </w:r>
            <w:bookmarkEnd w:id="11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5ED6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7</w:t>
            </w:r>
          </w:p>
        </w:tc>
      </w:tr>
      <w:tr w14:paraId="19B5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</w:trPr>
        <w:tc>
          <w:tcPr>
            <w:tcW w:w="14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A5646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27EF3E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C8D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45%石硫合剂结晶粉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5260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120-180倍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079D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7EBB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封园可用</w:t>
            </w:r>
          </w:p>
        </w:tc>
      </w:tr>
      <w:tr w14:paraId="0C78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298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茶角胸叶甲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BC8C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成虫高峰期5月上旬至6月上旬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CA00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400 亿个孢子/克球孢白僵菌的可湿粉剂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1F27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100 克/亩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ABB5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5F98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 w14:paraId="6211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879" w:hRule="atLeast"/>
        </w:trPr>
        <w:tc>
          <w:tcPr>
            <w:tcW w:w="14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743FE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茶饼病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F6AD52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春、秋季发病期，5天中有3天上午日照＜3h，或降雨量＞2.5mm～5mm；芽梢发病率＞35%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636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3% 多抗霉素</w:t>
            </w:r>
          </w:p>
          <w:p w14:paraId="1F02D604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可湿性粉剂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0914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300倍液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864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0DB1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</w:tr>
      <w:tr w14:paraId="6AE5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737" w:hRule="atLeast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 w14:paraId="6D3D406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  <w:vAlign w:val="center"/>
          </w:tcPr>
          <w:p w14:paraId="58787A51">
            <w:pPr>
              <w:spacing w:line="240" w:lineRule="auto"/>
              <w:jc w:val="both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83B3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45%石硫合剂结晶粉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235E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120-180倍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3AB3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喷雾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B6C8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bookmarkStart w:id="12" w:name="OLE_LINK53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封园可用</w:t>
            </w:r>
            <w:bookmarkEnd w:id="12"/>
          </w:p>
        </w:tc>
      </w:tr>
      <w:tr w14:paraId="6D43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9" w:type="dxa"/>
          <w:trHeight w:val="550" w:hRule="atLeast"/>
        </w:trPr>
        <w:tc>
          <w:tcPr>
            <w:tcW w:w="921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3EB6">
            <w:pPr>
              <w:spacing w:line="240" w:lineRule="auto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注：农药使用以最新版本NY/T393的规定为准。</w:t>
            </w:r>
          </w:p>
        </w:tc>
      </w:tr>
    </w:tbl>
    <w:p w14:paraId="5C55D5A7"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81"/>
    <w:rsid w:val="00000AC0"/>
    <w:rsid w:val="00005D85"/>
    <w:rsid w:val="000104EB"/>
    <w:rsid w:val="00010D47"/>
    <w:rsid w:val="00021A35"/>
    <w:rsid w:val="0002351A"/>
    <w:rsid w:val="0002380B"/>
    <w:rsid w:val="000354E0"/>
    <w:rsid w:val="00057626"/>
    <w:rsid w:val="0006105C"/>
    <w:rsid w:val="0006558E"/>
    <w:rsid w:val="0006633E"/>
    <w:rsid w:val="000800AB"/>
    <w:rsid w:val="00081E60"/>
    <w:rsid w:val="00083BA5"/>
    <w:rsid w:val="000A3BF0"/>
    <w:rsid w:val="000A641B"/>
    <w:rsid w:val="000B2ECA"/>
    <w:rsid w:val="000B63A5"/>
    <w:rsid w:val="000C3DFB"/>
    <w:rsid w:val="000C7CFE"/>
    <w:rsid w:val="000D788B"/>
    <w:rsid w:val="000E3FBB"/>
    <w:rsid w:val="000F0B2D"/>
    <w:rsid w:val="00101484"/>
    <w:rsid w:val="001049E5"/>
    <w:rsid w:val="001214BA"/>
    <w:rsid w:val="00131890"/>
    <w:rsid w:val="00132ED1"/>
    <w:rsid w:val="0014048A"/>
    <w:rsid w:val="0014547E"/>
    <w:rsid w:val="001547F4"/>
    <w:rsid w:val="00157A40"/>
    <w:rsid w:val="001625D7"/>
    <w:rsid w:val="001651F4"/>
    <w:rsid w:val="00167415"/>
    <w:rsid w:val="001720E7"/>
    <w:rsid w:val="00180E21"/>
    <w:rsid w:val="00183037"/>
    <w:rsid w:val="0018761E"/>
    <w:rsid w:val="001907C9"/>
    <w:rsid w:val="001934C7"/>
    <w:rsid w:val="00193A56"/>
    <w:rsid w:val="001A516F"/>
    <w:rsid w:val="001A5B46"/>
    <w:rsid w:val="001A670D"/>
    <w:rsid w:val="001B5147"/>
    <w:rsid w:val="001C6DA3"/>
    <w:rsid w:val="001C7D6C"/>
    <w:rsid w:val="001D5E73"/>
    <w:rsid w:val="001E12AD"/>
    <w:rsid w:val="001F03D2"/>
    <w:rsid w:val="001F04A4"/>
    <w:rsid w:val="001F0739"/>
    <w:rsid w:val="00200051"/>
    <w:rsid w:val="002020EF"/>
    <w:rsid w:val="002052B8"/>
    <w:rsid w:val="00214C71"/>
    <w:rsid w:val="00215495"/>
    <w:rsid w:val="00222A8A"/>
    <w:rsid w:val="0022378E"/>
    <w:rsid w:val="0023017C"/>
    <w:rsid w:val="00236CBE"/>
    <w:rsid w:val="0024089E"/>
    <w:rsid w:val="00257AF7"/>
    <w:rsid w:val="00271A2E"/>
    <w:rsid w:val="00282BA6"/>
    <w:rsid w:val="0029542D"/>
    <w:rsid w:val="0029566D"/>
    <w:rsid w:val="002A5F7F"/>
    <w:rsid w:val="002B1E8D"/>
    <w:rsid w:val="002B22A3"/>
    <w:rsid w:val="002B5C62"/>
    <w:rsid w:val="002C5121"/>
    <w:rsid w:val="002D532D"/>
    <w:rsid w:val="002D7F61"/>
    <w:rsid w:val="002F2CC4"/>
    <w:rsid w:val="003000C6"/>
    <w:rsid w:val="0030254C"/>
    <w:rsid w:val="00305A72"/>
    <w:rsid w:val="00307687"/>
    <w:rsid w:val="00307F96"/>
    <w:rsid w:val="003141AE"/>
    <w:rsid w:val="00316EA0"/>
    <w:rsid w:val="0032008C"/>
    <w:rsid w:val="003223E1"/>
    <w:rsid w:val="00325FD2"/>
    <w:rsid w:val="0035016B"/>
    <w:rsid w:val="0035258D"/>
    <w:rsid w:val="003572C3"/>
    <w:rsid w:val="00367D81"/>
    <w:rsid w:val="003916CE"/>
    <w:rsid w:val="00393D11"/>
    <w:rsid w:val="00397263"/>
    <w:rsid w:val="003A7E27"/>
    <w:rsid w:val="003B4579"/>
    <w:rsid w:val="003B497D"/>
    <w:rsid w:val="003B71DB"/>
    <w:rsid w:val="003E5630"/>
    <w:rsid w:val="003F5A29"/>
    <w:rsid w:val="003F6774"/>
    <w:rsid w:val="00401A82"/>
    <w:rsid w:val="00402C87"/>
    <w:rsid w:val="00403BEC"/>
    <w:rsid w:val="004058DD"/>
    <w:rsid w:val="00406092"/>
    <w:rsid w:val="00407D36"/>
    <w:rsid w:val="004122E3"/>
    <w:rsid w:val="00412DB0"/>
    <w:rsid w:val="00414F44"/>
    <w:rsid w:val="004173F1"/>
    <w:rsid w:val="00432D00"/>
    <w:rsid w:val="004358E0"/>
    <w:rsid w:val="00436E6B"/>
    <w:rsid w:val="00437EC8"/>
    <w:rsid w:val="00441A96"/>
    <w:rsid w:val="0044566C"/>
    <w:rsid w:val="0045166F"/>
    <w:rsid w:val="00454821"/>
    <w:rsid w:val="00454830"/>
    <w:rsid w:val="00455D2C"/>
    <w:rsid w:val="0046037D"/>
    <w:rsid w:val="0046202E"/>
    <w:rsid w:val="00464697"/>
    <w:rsid w:val="0047096E"/>
    <w:rsid w:val="004722D8"/>
    <w:rsid w:val="00473084"/>
    <w:rsid w:val="00491063"/>
    <w:rsid w:val="0049583F"/>
    <w:rsid w:val="004A0B87"/>
    <w:rsid w:val="004B35FC"/>
    <w:rsid w:val="004D2EF7"/>
    <w:rsid w:val="004F1B6C"/>
    <w:rsid w:val="004F23D6"/>
    <w:rsid w:val="004F76C4"/>
    <w:rsid w:val="00516876"/>
    <w:rsid w:val="00517577"/>
    <w:rsid w:val="00517834"/>
    <w:rsid w:val="00524FB5"/>
    <w:rsid w:val="005308F9"/>
    <w:rsid w:val="00531C33"/>
    <w:rsid w:val="0056151B"/>
    <w:rsid w:val="00561E6F"/>
    <w:rsid w:val="00564CD6"/>
    <w:rsid w:val="00564FCC"/>
    <w:rsid w:val="005660FA"/>
    <w:rsid w:val="005718A2"/>
    <w:rsid w:val="0059090A"/>
    <w:rsid w:val="00592A27"/>
    <w:rsid w:val="00596CA0"/>
    <w:rsid w:val="005B3742"/>
    <w:rsid w:val="005B4A65"/>
    <w:rsid w:val="005B6B79"/>
    <w:rsid w:val="005B7569"/>
    <w:rsid w:val="005C46BA"/>
    <w:rsid w:val="005C6D8E"/>
    <w:rsid w:val="005D134B"/>
    <w:rsid w:val="005D3CD8"/>
    <w:rsid w:val="005F4A93"/>
    <w:rsid w:val="00603D3B"/>
    <w:rsid w:val="0061200B"/>
    <w:rsid w:val="006123A5"/>
    <w:rsid w:val="006159DC"/>
    <w:rsid w:val="006228DE"/>
    <w:rsid w:val="006274A9"/>
    <w:rsid w:val="00630E82"/>
    <w:rsid w:val="006504A2"/>
    <w:rsid w:val="00667275"/>
    <w:rsid w:val="00672FAF"/>
    <w:rsid w:val="00675ADE"/>
    <w:rsid w:val="006768AC"/>
    <w:rsid w:val="00683BD5"/>
    <w:rsid w:val="006869AD"/>
    <w:rsid w:val="006A1D69"/>
    <w:rsid w:val="006A63B2"/>
    <w:rsid w:val="006C0DFE"/>
    <w:rsid w:val="006C31C0"/>
    <w:rsid w:val="006D093D"/>
    <w:rsid w:val="006D6CDE"/>
    <w:rsid w:val="006E492E"/>
    <w:rsid w:val="006F4E82"/>
    <w:rsid w:val="00701509"/>
    <w:rsid w:val="00701606"/>
    <w:rsid w:val="0070650C"/>
    <w:rsid w:val="00710B1C"/>
    <w:rsid w:val="0071261C"/>
    <w:rsid w:val="00745AAA"/>
    <w:rsid w:val="00750EE3"/>
    <w:rsid w:val="00752654"/>
    <w:rsid w:val="007553A2"/>
    <w:rsid w:val="00756D94"/>
    <w:rsid w:val="007576B9"/>
    <w:rsid w:val="00762525"/>
    <w:rsid w:val="0076322A"/>
    <w:rsid w:val="00764A70"/>
    <w:rsid w:val="00774CD0"/>
    <w:rsid w:val="007818A2"/>
    <w:rsid w:val="00785411"/>
    <w:rsid w:val="00786DF2"/>
    <w:rsid w:val="00790D86"/>
    <w:rsid w:val="007923AF"/>
    <w:rsid w:val="00795A7B"/>
    <w:rsid w:val="007A00F9"/>
    <w:rsid w:val="007A12B9"/>
    <w:rsid w:val="007B3EBB"/>
    <w:rsid w:val="007C2150"/>
    <w:rsid w:val="007C768A"/>
    <w:rsid w:val="007D0EC4"/>
    <w:rsid w:val="007D4AFD"/>
    <w:rsid w:val="007D7D0E"/>
    <w:rsid w:val="007E038C"/>
    <w:rsid w:val="007E1F4E"/>
    <w:rsid w:val="00800A0E"/>
    <w:rsid w:val="0081175E"/>
    <w:rsid w:val="00816D95"/>
    <w:rsid w:val="0082462A"/>
    <w:rsid w:val="008259BA"/>
    <w:rsid w:val="00831C53"/>
    <w:rsid w:val="008326C3"/>
    <w:rsid w:val="0084288F"/>
    <w:rsid w:val="008750B3"/>
    <w:rsid w:val="0087542C"/>
    <w:rsid w:val="008764F3"/>
    <w:rsid w:val="00880620"/>
    <w:rsid w:val="008947E0"/>
    <w:rsid w:val="008A580B"/>
    <w:rsid w:val="008B7693"/>
    <w:rsid w:val="008C0BF0"/>
    <w:rsid w:val="008C6EFB"/>
    <w:rsid w:val="008D461B"/>
    <w:rsid w:val="008D4DF3"/>
    <w:rsid w:val="008E21B3"/>
    <w:rsid w:val="008E3533"/>
    <w:rsid w:val="008E48CE"/>
    <w:rsid w:val="008E4DC5"/>
    <w:rsid w:val="008F73DA"/>
    <w:rsid w:val="00905AD6"/>
    <w:rsid w:val="00910479"/>
    <w:rsid w:val="009141E7"/>
    <w:rsid w:val="00923F9D"/>
    <w:rsid w:val="00934AA3"/>
    <w:rsid w:val="009367C9"/>
    <w:rsid w:val="009402FD"/>
    <w:rsid w:val="009561A2"/>
    <w:rsid w:val="00963488"/>
    <w:rsid w:val="0096523C"/>
    <w:rsid w:val="0096569C"/>
    <w:rsid w:val="00972966"/>
    <w:rsid w:val="009820B6"/>
    <w:rsid w:val="0098309C"/>
    <w:rsid w:val="00983F81"/>
    <w:rsid w:val="00985063"/>
    <w:rsid w:val="00985D27"/>
    <w:rsid w:val="009A6678"/>
    <w:rsid w:val="009B501F"/>
    <w:rsid w:val="009C2EF5"/>
    <w:rsid w:val="009C40C7"/>
    <w:rsid w:val="009C537C"/>
    <w:rsid w:val="009C599C"/>
    <w:rsid w:val="009C7530"/>
    <w:rsid w:val="009C7C96"/>
    <w:rsid w:val="009E3699"/>
    <w:rsid w:val="00A00E92"/>
    <w:rsid w:val="00A07F1D"/>
    <w:rsid w:val="00A128AB"/>
    <w:rsid w:val="00A14C71"/>
    <w:rsid w:val="00A154A5"/>
    <w:rsid w:val="00A1666B"/>
    <w:rsid w:val="00A1770F"/>
    <w:rsid w:val="00A17F74"/>
    <w:rsid w:val="00A27D09"/>
    <w:rsid w:val="00A329EC"/>
    <w:rsid w:val="00A34658"/>
    <w:rsid w:val="00A408C5"/>
    <w:rsid w:val="00A42394"/>
    <w:rsid w:val="00A43012"/>
    <w:rsid w:val="00A54264"/>
    <w:rsid w:val="00A56016"/>
    <w:rsid w:val="00A56178"/>
    <w:rsid w:val="00A628CA"/>
    <w:rsid w:val="00A702F0"/>
    <w:rsid w:val="00A878AF"/>
    <w:rsid w:val="00A906B0"/>
    <w:rsid w:val="00A91B76"/>
    <w:rsid w:val="00A9297F"/>
    <w:rsid w:val="00A93F06"/>
    <w:rsid w:val="00A949FB"/>
    <w:rsid w:val="00AA15AA"/>
    <w:rsid w:val="00AB7E4F"/>
    <w:rsid w:val="00AC3B57"/>
    <w:rsid w:val="00AC5C18"/>
    <w:rsid w:val="00AD04E9"/>
    <w:rsid w:val="00AD184E"/>
    <w:rsid w:val="00AD19F7"/>
    <w:rsid w:val="00AD24FA"/>
    <w:rsid w:val="00AE22C3"/>
    <w:rsid w:val="00AF70B9"/>
    <w:rsid w:val="00B13CE7"/>
    <w:rsid w:val="00B14615"/>
    <w:rsid w:val="00B159B6"/>
    <w:rsid w:val="00B32A72"/>
    <w:rsid w:val="00B36770"/>
    <w:rsid w:val="00B36DA5"/>
    <w:rsid w:val="00B43132"/>
    <w:rsid w:val="00B469AD"/>
    <w:rsid w:val="00B53A1D"/>
    <w:rsid w:val="00B611E1"/>
    <w:rsid w:val="00B6306B"/>
    <w:rsid w:val="00B65FD9"/>
    <w:rsid w:val="00B80C2C"/>
    <w:rsid w:val="00B82D3B"/>
    <w:rsid w:val="00B8613F"/>
    <w:rsid w:val="00BA0490"/>
    <w:rsid w:val="00BB1E76"/>
    <w:rsid w:val="00BC3790"/>
    <w:rsid w:val="00BC4B60"/>
    <w:rsid w:val="00BD3A0E"/>
    <w:rsid w:val="00BE16FE"/>
    <w:rsid w:val="00BE1B43"/>
    <w:rsid w:val="00BE47B2"/>
    <w:rsid w:val="00BE482C"/>
    <w:rsid w:val="00BE6132"/>
    <w:rsid w:val="00C00AF4"/>
    <w:rsid w:val="00C051F2"/>
    <w:rsid w:val="00C15704"/>
    <w:rsid w:val="00C24A50"/>
    <w:rsid w:val="00C30FB2"/>
    <w:rsid w:val="00C345C7"/>
    <w:rsid w:val="00C34F0E"/>
    <w:rsid w:val="00C367C8"/>
    <w:rsid w:val="00C40025"/>
    <w:rsid w:val="00C57CB5"/>
    <w:rsid w:val="00C70FB1"/>
    <w:rsid w:val="00C84825"/>
    <w:rsid w:val="00CA1164"/>
    <w:rsid w:val="00CC0130"/>
    <w:rsid w:val="00CD0B27"/>
    <w:rsid w:val="00CD6A6C"/>
    <w:rsid w:val="00CF2D3B"/>
    <w:rsid w:val="00D01AAD"/>
    <w:rsid w:val="00D043EF"/>
    <w:rsid w:val="00D12072"/>
    <w:rsid w:val="00D152DC"/>
    <w:rsid w:val="00D153F5"/>
    <w:rsid w:val="00D206AB"/>
    <w:rsid w:val="00D211B5"/>
    <w:rsid w:val="00D31C4F"/>
    <w:rsid w:val="00D37DE9"/>
    <w:rsid w:val="00D52867"/>
    <w:rsid w:val="00D605CA"/>
    <w:rsid w:val="00D625F6"/>
    <w:rsid w:val="00D72504"/>
    <w:rsid w:val="00D76A53"/>
    <w:rsid w:val="00D80221"/>
    <w:rsid w:val="00D81483"/>
    <w:rsid w:val="00D867A7"/>
    <w:rsid w:val="00D94523"/>
    <w:rsid w:val="00DA3E1F"/>
    <w:rsid w:val="00DA5DBD"/>
    <w:rsid w:val="00DB794E"/>
    <w:rsid w:val="00DC0C13"/>
    <w:rsid w:val="00DD41D8"/>
    <w:rsid w:val="00DD6511"/>
    <w:rsid w:val="00DE5583"/>
    <w:rsid w:val="00DF6B72"/>
    <w:rsid w:val="00DF73DF"/>
    <w:rsid w:val="00E0152E"/>
    <w:rsid w:val="00E0774B"/>
    <w:rsid w:val="00E12B32"/>
    <w:rsid w:val="00E135EB"/>
    <w:rsid w:val="00E24861"/>
    <w:rsid w:val="00E3374F"/>
    <w:rsid w:val="00E34536"/>
    <w:rsid w:val="00E459DC"/>
    <w:rsid w:val="00E51E92"/>
    <w:rsid w:val="00E54197"/>
    <w:rsid w:val="00E613B4"/>
    <w:rsid w:val="00E66703"/>
    <w:rsid w:val="00E66EFF"/>
    <w:rsid w:val="00E720AA"/>
    <w:rsid w:val="00E7299B"/>
    <w:rsid w:val="00E81AF9"/>
    <w:rsid w:val="00E84F52"/>
    <w:rsid w:val="00E91AE5"/>
    <w:rsid w:val="00E95D30"/>
    <w:rsid w:val="00E96201"/>
    <w:rsid w:val="00EA3C5D"/>
    <w:rsid w:val="00EB3B10"/>
    <w:rsid w:val="00ED4467"/>
    <w:rsid w:val="00ED44D4"/>
    <w:rsid w:val="00ED74B7"/>
    <w:rsid w:val="00EE40A0"/>
    <w:rsid w:val="00EE41C0"/>
    <w:rsid w:val="00EF06FC"/>
    <w:rsid w:val="00EF1491"/>
    <w:rsid w:val="00F02E60"/>
    <w:rsid w:val="00F144D2"/>
    <w:rsid w:val="00F14D42"/>
    <w:rsid w:val="00F21887"/>
    <w:rsid w:val="00F31FA6"/>
    <w:rsid w:val="00F35F5A"/>
    <w:rsid w:val="00F373A2"/>
    <w:rsid w:val="00F51294"/>
    <w:rsid w:val="00F564EA"/>
    <w:rsid w:val="00F6116B"/>
    <w:rsid w:val="00F77022"/>
    <w:rsid w:val="00F878E2"/>
    <w:rsid w:val="00F87C8F"/>
    <w:rsid w:val="00F94C38"/>
    <w:rsid w:val="00F96F67"/>
    <w:rsid w:val="00FA3043"/>
    <w:rsid w:val="00FC0470"/>
    <w:rsid w:val="00FC7FC7"/>
    <w:rsid w:val="00FD10B3"/>
    <w:rsid w:val="00FD6DB4"/>
    <w:rsid w:val="00FE07DA"/>
    <w:rsid w:val="00FE22E1"/>
    <w:rsid w:val="00FE3CF6"/>
    <w:rsid w:val="00FF568E"/>
    <w:rsid w:val="050A41FE"/>
    <w:rsid w:val="05F01D1D"/>
    <w:rsid w:val="0AAB64ED"/>
    <w:rsid w:val="1138655F"/>
    <w:rsid w:val="15DA2525"/>
    <w:rsid w:val="1B2C412F"/>
    <w:rsid w:val="1F376A85"/>
    <w:rsid w:val="382E3420"/>
    <w:rsid w:val="3995213C"/>
    <w:rsid w:val="3C840244"/>
    <w:rsid w:val="4ABE75B5"/>
    <w:rsid w:val="4B6A70A0"/>
    <w:rsid w:val="4BC414F0"/>
    <w:rsid w:val="5443251D"/>
    <w:rsid w:val="54CA4025"/>
    <w:rsid w:val="54D67FDA"/>
    <w:rsid w:val="56634F89"/>
    <w:rsid w:val="57F347A6"/>
    <w:rsid w:val="64CA5476"/>
    <w:rsid w:val="69B77AE9"/>
    <w:rsid w:val="6A423C69"/>
    <w:rsid w:val="6E460868"/>
    <w:rsid w:val="70A06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qFormat/>
    <w:uiPriority w:val="99"/>
    <w:rPr>
      <w:kern w:val="0"/>
    </w:r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  <w:rPr>
      <w:rFonts w:ascii="宋体" w:hAnsi="宋体"/>
      <w:kern w:val="0"/>
      <w:sz w:val="24"/>
      <w:szCs w:val="24"/>
    </w:rPr>
  </w:style>
  <w:style w:type="paragraph" w:styleId="4">
    <w:name w:val="Body Text Indent 2"/>
    <w:basedOn w:val="1"/>
    <w:link w:val="19"/>
    <w:qFormat/>
    <w:uiPriority w:val="99"/>
    <w:pPr>
      <w:spacing w:line="288" w:lineRule="auto"/>
      <w:ind w:firstLine="435"/>
    </w:pPr>
    <w:rPr>
      <w:rFonts w:ascii="Times New Roman" w:hAnsi="Times New Roman"/>
      <w:kern w:val="0"/>
    </w:rPr>
  </w:style>
  <w:style w:type="paragraph" w:styleId="5">
    <w:name w:val="Balloon Text"/>
    <w:basedOn w:val="1"/>
    <w:link w:val="20"/>
    <w:semiHidden/>
    <w:qFormat/>
    <w:uiPriority w:val="99"/>
    <w:rPr>
      <w:kern w:val="0"/>
      <w:sz w:val="2"/>
      <w:szCs w:val="20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7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2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2"/>
    <w:next w:val="2"/>
    <w:link w:val="17"/>
    <w:semiHidden/>
    <w:qFormat/>
    <w:uiPriority w:val="99"/>
    <w:rPr>
      <w:b/>
      <w:bCs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Emphasis"/>
    <w:basedOn w:val="12"/>
    <w:qFormat/>
    <w:uiPriority w:val="99"/>
    <w:rPr>
      <w:rFonts w:cs="Times New Roman"/>
      <w:color w:val="DD4B39"/>
    </w:rPr>
  </w:style>
  <w:style w:type="character" w:styleId="15">
    <w:name w:val="annotation reference"/>
    <w:basedOn w:val="12"/>
    <w:semiHidden/>
    <w:qFormat/>
    <w:uiPriority w:val="99"/>
    <w:rPr>
      <w:rFonts w:cs="Times New Roman"/>
      <w:sz w:val="21"/>
    </w:rPr>
  </w:style>
  <w:style w:type="character" w:customStyle="1" w:styleId="16">
    <w:name w:val="批注文字 Char"/>
    <w:basedOn w:val="12"/>
    <w:link w:val="2"/>
    <w:semiHidden/>
    <w:qFormat/>
    <w:locked/>
    <w:uiPriority w:val="99"/>
    <w:rPr>
      <w:rFonts w:cs="Times New Roman"/>
      <w:sz w:val="21"/>
    </w:rPr>
  </w:style>
  <w:style w:type="character" w:customStyle="1" w:styleId="17">
    <w:name w:val="批注主题 Char"/>
    <w:basedOn w:val="16"/>
    <w:link w:val="9"/>
    <w:semiHidden/>
    <w:qFormat/>
    <w:locked/>
    <w:uiPriority w:val="99"/>
    <w:rPr>
      <w:rFonts w:cs="Times New Roman"/>
      <w:b/>
      <w:sz w:val="21"/>
    </w:rPr>
  </w:style>
  <w:style w:type="character" w:customStyle="1" w:styleId="18">
    <w:name w:val="日期 Char"/>
    <w:basedOn w:val="12"/>
    <w:link w:val="3"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9">
    <w:name w:val="正文文本缩进 2 Char"/>
    <w:basedOn w:val="12"/>
    <w:link w:val="4"/>
    <w:qFormat/>
    <w:locked/>
    <w:uiPriority w:val="99"/>
    <w:rPr>
      <w:rFonts w:ascii="Times New Roman" w:hAnsi="Times New Roman" w:eastAsia="宋体" w:cs="Times New Roman"/>
      <w:sz w:val="21"/>
    </w:rPr>
  </w:style>
  <w:style w:type="character" w:customStyle="1" w:styleId="20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21">
    <w:name w:val="页脚 Char"/>
    <w:basedOn w:val="12"/>
    <w:link w:val="6"/>
    <w:qFormat/>
    <w:locked/>
    <w:uiPriority w:val="99"/>
    <w:rPr>
      <w:rFonts w:cs="Times New Roman"/>
      <w:sz w:val="18"/>
    </w:rPr>
  </w:style>
  <w:style w:type="character" w:customStyle="1" w:styleId="22">
    <w:name w:val="页眉 Char"/>
    <w:basedOn w:val="12"/>
    <w:link w:val="7"/>
    <w:qFormat/>
    <w:locked/>
    <w:uiPriority w:val="99"/>
    <w:rPr>
      <w:rFonts w:cs="Times New Roman"/>
      <w:sz w:val="18"/>
    </w:rPr>
  </w:style>
  <w:style w:type="character" w:customStyle="1" w:styleId="23">
    <w:name w:val="HTML 预设格式 Char"/>
    <w:basedOn w:val="12"/>
    <w:link w:val="8"/>
    <w:qFormat/>
    <w:locked/>
    <w:uiPriority w:val="99"/>
    <w:rPr>
      <w:rFonts w:ascii="宋体" w:eastAsia="宋体" w:cs="Times New Roman"/>
      <w:sz w:val="24"/>
    </w:rPr>
  </w:style>
  <w:style w:type="paragraph" w:customStyle="1" w:styleId="24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前言、引言标题"/>
    <w:next w:val="1"/>
    <w:qFormat/>
    <w:uiPriority w:val="99"/>
    <w:pPr>
      <w:shd w:val="clear" w:color="FFFFFF" w:fill="FFFFFF"/>
      <w:tabs>
        <w:tab w:val="left" w:pos="360"/>
      </w:tabs>
      <w:spacing w:before="640" w:after="560" w:line="560" w:lineRule="exact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7">
    <w:name w:val="段"/>
    <w:link w:val="28"/>
    <w:qFormat/>
    <w:uiPriority w:val="99"/>
    <w:pPr>
      <w:autoSpaceDE w:val="0"/>
      <w:autoSpaceDN w:val="0"/>
      <w:spacing w:line="560" w:lineRule="exact"/>
      <w:ind w:firstLine="200" w:firstLineChars="200"/>
      <w:jc w:val="both"/>
    </w:pPr>
    <w:rPr>
      <w:rFonts w:ascii="宋体" w:hAnsi="Times New Roman" w:eastAsia="宋体" w:cs="Times New Roman"/>
      <w:sz w:val="22"/>
      <w:lang w:val="en-US" w:eastAsia="zh-CN" w:bidi="ar-SA"/>
    </w:rPr>
  </w:style>
  <w:style w:type="character" w:customStyle="1" w:styleId="28">
    <w:name w:val="段 Char"/>
    <w:link w:val="27"/>
    <w:qFormat/>
    <w:locked/>
    <w:uiPriority w:val="99"/>
    <w:rPr>
      <w:rFonts w:ascii="宋体" w:hAnsi="Times New Roman"/>
      <w:sz w:val="22"/>
      <w:lang w:bidi="ar-SA"/>
    </w:rPr>
  </w:style>
  <w:style w:type="paragraph" w:customStyle="1" w:styleId="29">
    <w:name w:val="1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30">
    <w:name w:val="Char1"/>
    <w:basedOn w:val="1"/>
    <w:qFormat/>
    <w:uiPriority w:val="99"/>
    <w:pPr>
      <w:tabs>
        <w:tab w:val="right" w:pos="8494"/>
      </w:tabs>
      <w:spacing w:after="160" w:line="240" w:lineRule="exac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1">
    <w:name w:val="Revision1"/>
    <w:hidden/>
    <w:semiHidden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32">
    <w:name w:val="style7"/>
    <w:basedOn w:val="12"/>
    <w:qFormat/>
    <w:uiPriority w:val="0"/>
  </w:style>
  <w:style w:type="paragraph" w:customStyle="1" w:styleId="3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文献分类号"/>
    <w:autoRedefine/>
    <w:qFormat/>
    <w:uiPriority w:val="0"/>
    <w:pPr>
      <w:framePr w:w="9639" w:wrap="around" w:vAnchor="page" w:hAnchor="page" w:x="1373" w:y="568"/>
      <w:widowControl w:val="0"/>
      <w:ind w:left="-462" w:leftChars="-220" w:firstLine="462" w:firstLineChars="220"/>
      <w:textAlignment w:val="center"/>
    </w:pPr>
    <w:rPr>
      <w:rFonts w:hint="eastAsia"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5">
    <w:name w:val="标准称谓3"/>
    <w:next w:val="1"/>
    <w:autoRedefine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黑体" w:hAnsi="Times New Roman" w:eastAsia="黑体" w:cs="Times New Roman"/>
      <w:sz w:val="52"/>
      <w:szCs w:val="52"/>
      <w:lang w:val="en-US" w:eastAsia="zh-CN" w:bidi="ar-SA"/>
    </w:rPr>
  </w:style>
  <w:style w:type="paragraph" w:customStyle="1" w:styleId="36">
    <w:name w:val="封面标准号2"/>
    <w:autoRedefine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37">
    <w:name w:val="封面标准顶部线"/>
    <w:autoRedefine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38">
    <w:name w:val="封面日期"/>
    <w:autoRedefine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7568</Words>
  <Characters>8567</Characters>
  <Lines>68</Lines>
  <Paragraphs>19</Paragraphs>
  <TotalTime>118</TotalTime>
  <ScaleCrop>false</ScaleCrop>
  <LinksUpToDate>false</LinksUpToDate>
  <CharactersWithSpaces>8791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2026-03-31T12:27:00Z</dcterms:created>
  <dc:creator>dell</dc:creator>
  <cp:lastModifiedBy>房正</cp:lastModifiedBy>
  <cp:lastPrinted>2026-03-23T08:38:00Z</cp:lastPrinted>
  <dcterms:modified xsi:type="dcterms:W3CDTF">2026-04-15T02:27:42Z</dcterms:modified>
  <dc:title>前  言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eyJoZGlkIjoiMGUyOGZlMzdlZWEyMGFlYzc0ZWE1MGJlZjA4NmY3NTMiLCJ1c2VySWQiOiIyNzM3NDc2MDMifQ==</vt:lpwstr>
  </property>
  <property fmtid="{D5CDD505-2E9C-101B-9397-08002B2CF9AE}" pid="4" name="ICV">
    <vt:lpwstr>EB7A290BBC5A4241A1D94EB5FB42CD69_13</vt:lpwstr>
  </property>
</Properties>
</file>