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2189">
      <w:pPr>
        <w:pStyle w:val="19"/>
        <w:framePr w:wrap="around" w:x="1470" w:y="3511"/>
        <w:rPr>
          <w:rFonts w:hint="eastAsia" w:eastAsia="黑体"/>
          <w:lang w:eastAsia="zh-CN"/>
        </w:rPr>
      </w:pPr>
      <w:r>
        <w:t>T/CGFA</w:t>
      </w:r>
      <w:r>
        <w:rPr>
          <w:rFonts w:hint="eastAsia"/>
          <w:lang w:val="en-US" w:eastAsia="zh-CN"/>
        </w:rPr>
        <w:t>xxx</w:t>
      </w:r>
      <w:r>
        <w:t>-202</w:t>
      </w:r>
      <w:r>
        <w:rPr>
          <w:rFonts w:hint="eastAsia"/>
          <w:lang w:val="en-US" w:eastAsia="zh-CN"/>
        </w:rPr>
        <w:t>6</w:t>
      </w:r>
    </w:p>
    <w:p w14:paraId="023F9EC3">
      <w:pPr>
        <w:pStyle w:val="19"/>
        <w:framePr w:wrap="around" w:x="1470" w:y="3511"/>
        <w:rPr>
          <w:rFonts w:hint="default"/>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E3F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217E2850">
            <w:pPr>
              <w:pStyle w:val="16"/>
              <w:framePr w:wrap="around"/>
              <w:rPr>
                <w:rFonts w:hint="default"/>
                <w:sz w:val="10"/>
              </w:rPr>
            </w:pPr>
          </w:p>
        </w:tc>
      </w:tr>
    </w:tbl>
    <w:p w14:paraId="0672EE2F">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绿色食品 长江上中游甜橙生产操作规程</w:t>
      </w:r>
    </w:p>
    <w:p w14:paraId="351F0389">
      <w:pPr>
        <w:framePr w:w="9639" w:h="6974" w:hRule="exact" w:wrap="around" w:vAnchor="page" w:hAnchor="page" w:x="1419" w:y="6408"/>
        <w:spacing w:line="560" w:lineRule="exact"/>
        <w:jc w:val="center"/>
        <w:rPr>
          <w:rFonts w:hint="default" w:ascii="Times New Roman" w:hAnsi="Times New Roman" w:cs="Times New Roman"/>
          <w:sz w:val="24"/>
          <w:szCs w:val="24"/>
        </w:rPr>
      </w:pPr>
      <w:r>
        <w:rPr>
          <w:rFonts w:hint="default" w:ascii="Times New Roman" w:hAnsi="Times New Roman" w:eastAsia="华文中宋" w:cs="Times New Roman"/>
          <w:bCs/>
          <w:sz w:val="24"/>
          <w:szCs w:val="24"/>
        </w:rPr>
        <w:t xml:space="preserve">Green Food Production Material </w:t>
      </w:r>
      <w:r>
        <w:rPr>
          <w:rFonts w:hint="default" w:ascii="Times New Roman" w:hAnsi="Times New Roman" w:cs="Times New Roman"/>
          <w:sz w:val="24"/>
          <w:szCs w:val="24"/>
        </w:rPr>
        <w:t xml:space="preserve">Technical Operating Procedures for the Production Process </w:t>
      </w:r>
    </w:p>
    <w:p w14:paraId="14BF2680">
      <w:pPr>
        <w:framePr w:w="9639" w:h="6974" w:hRule="exact" w:wrap="around" w:vAnchor="page" w:hAnchor="page" w:x="1419" w:y="6408"/>
        <w:spacing w:line="560" w:lineRule="exact"/>
        <w:jc w:val="center"/>
        <w:rPr>
          <w:rFonts w:hint="default" w:ascii="Times New Roman" w:hAnsi="Times New Roman" w:eastAsia="华文中宋" w:cs="Times New Roman"/>
          <w:bCs/>
          <w:sz w:val="24"/>
          <w:szCs w:val="24"/>
        </w:rPr>
      </w:pPr>
      <w:r>
        <w:rPr>
          <w:rFonts w:hint="default" w:ascii="Times New Roman" w:hAnsi="Times New Roman" w:cs="Times New Roman"/>
          <w:sz w:val="24"/>
          <w:szCs w:val="24"/>
        </w:rPr>
        <w:t>of Oat and Oat Silage</w:t>
      </w:r>
    </w:p>
    <w:p w14:paraId="714E4465">
      <w:pPr>
        <w:framePr w:w="9639" w:h="6974" w:hRule="exact" w:wrap="around" w:vAnchor="page" w:hAnchor="page" w:x="1419" w:y="6408"/>
        <w:rPr>
          <w:rFonts w:hint="default" w:ascii="Times New Roman" w:hAnsi="Times New Roman" w:cs="Times New Roman"/>
          <w:sz w:val="24"/>
          <w:szCs w:val="24"/>
        </w:rPr>
      </w:pPr>
    </w:p>
    <w:p w14:paraId="620306BA">
      <w:pPr>
        <w:pStyle w:val="20"/>
        <w:framePr w:wrap="around"/>
        <w:rPr>
          <w:rFonts w:hint="default"/>
        </w:rPr>
      </w:pP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063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6A3E068D">
            <w:pPr>
              <w:pStyle w:val="17"/>
              <w:framePr w:wrap="around"/>
              <w:rPr>
                <w:rFonts w:hint="default"/>
              </w:rPr>
            </w:pPr>
            <w:r>
              <w:t>202</w:t>
            </w:r>
            <w:r>
              <w:rPr>
                <w:rFonts w:hint="eastAsia"/>
                <w:lang w:val="en-US" w:eastAsia="zh-CN"/>
              </w:rPr>
              <w:t xml:space="preserve"> </w:t>
            </w:r>
            <w:r>
              <w:t xml:space="preserve"> </w:t>
            </w:r>
            <w:r>
              <w:rPr>
                <w:rFonts w:ascii="宋体" w:hAnsi="宋体" w:eastAsia="宋体" w:cs="宋体"/>
              </w:rPr>
              <w:t>–</w:t>
            </w:r>
            <w:r>
              <w:t xml:space="preserve">  </w:t>
            </w:r>
            <w:r>
              <w:rPr>
                <w:rFonts w:ascii="宋体" w:hAnsi="宋体" w:eastAsia="宋体" w:cs="宋体"/>
              </w:rPr>
              <w:t>–</w:t>
            </w:r>
            <w:r>
              <w:t xml:space="preserve"> 发布</w:t>
            </w:r>
          </w:p>
        </w:tc>
        <w:tc>
          <w:tcPr>
            <w:tcW w:w="5508" w:type="dxa"/>
            <w:tcBorders>
              <w:bottom w:val="single" w:color="auto" w:sz="8" w:space="0"/>
            </w:tcBorders>
            <w:tcMar>
              <w:right w:w="57" w:type="dxa"/>
            </w:tcMar>
          </w:tcPr>
          <w:p w14:paraId="1EC14228">
            <w:pPr>
              <w:pStyle w:val="17"/>
              <w:framePr w:wrap="around"/>
              <w:ind w:right="1120"/>
              <w:jc w:val="right"/>
              <w:rPr>
                <w:rFonts w:hint="default"/>
              </w:rPr>
            </w:pPr>
            <w:r>
              <w:t xml:space="preserve">    202 </w:t>
            </w:r>
            <w:r>
              <w:rPr>
                <w:rFonts w:ascii="宋体" w:hAnsi="宋体" w:eastAsia="宋体" w:cs="宋体"/>
              </w:rPr>
              <w:t>–</w:t>
            </w:r>
            <w:r>
              <w:t xml:space="preserve">  -  实施</w:t>
            </w:r>
          </w:p>
        </w:tc>
      </w:tr>
    </w:tbl>
    <w:p w14:paraId="3BE4B0C6">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3F70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58925E5">
            <w:pPr>
              <w:pStyle w:val="21"/>
              <w:framePr w:wrap="around"/>
              <w:rPr>
                <w:rFonts w:hint="default"/>
              </w:rPr>
            </w:pPr>
            <w:r>
              <w:t>ICS</w:t>
            </w:r>
          </w:p>
        </w:tc>
        <w:tc>
          <w:tcPr>
            <w:tcW w:w="9107" w:type="dxa"/>
            <w:gridSpan w:val="2"/>
          </w:tcPr>
          <w:p w14:paraId="3DA2DBD8">
            <w:pPr>
              <w:pStyle w:val="21"/>
              <w:framePr w:wrap="around"/>
              <w:rPr>
                <w:rFonts w:hint="default"/>
              </w:rPr>
            </w:pPr>
          </w:p>
        </w:tc>
      </w:tr>
      <w:tr w14:paraId="088D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7CAF100">
            <w:pPr>
              <w:pStyle w:val="21"/>
              <w:framePr w:wrap="around"/>
              <w:rPr>
                <w:rFonts w:hint="default"/>
              </w:rPr>
            </w:pPr>
            <w:r>
              <w:t>CCS</w:t>
            </w:r>
          </w:p>
        </w:tc>
        <w:tc>
          <w:tcPr>
            <w:tcW w:w="9107" w:type="dxa"/>
            <w:gridSpan w:val="2"/>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813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D11FDF3">
                  <w:pPr>
                    <w:pStyle w:val="21"/>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2245C370">
            <w:pPr>
              <w:pStyle w:val="21"/>
              <w:framePr w:wrap="around"/>
              <w:rPr>
                <w:rFonts w:hint="default"/>
              </w:rPr>
            </w:pPr>
          </w:p>
        </w:tc>
      </w:tr>
      <w:tr w14:paraId="6EDA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032E0099">
            <w:pPr>
              <w:pStyle w:val="24"/>
              <w:framePr w:wrap="around"/>
              <w:rPr>
                <w:szCs w:val="21"/>
              </w:rPr>
            </w:pPr>
            <w:r>
              <w:rPr>
                <w:rFonts w:hint="eastAsia"/>
              </w:rPr>
              <w:t>中国绿色食品协会团体标准</w:t>
            </w:r>
          </w:p>
        </w:tc>
      </w:tr>
    </w:tbl>
    <w:p w14:paraId="1B674DF9"/>
    <w:p w14:paraId="052291CE">
      <w:pPr>
        <w:widowControl/>
        <w:jc w:val="left"/>
      </w:pPr>
      <w:r>
        <w:br w:type="page"/>
      </w:r>
    </w:p>
    <w:p w14:paraId="04C1996E">
      <w:pPr>
        <w:sectPr>
          <w:pgSz w:w="11906" w:h="16838"/>
          <w:pgMar w:top="1440" w:right="1800" w:bottom="1440" w:left="1800" w:header="851" w:footer="992" w:gutter="0"/>
          <w:cols w:space="425" w:num="1"/>
          <w:docGrid w:type="lines" w:linePitch="312" w:charSpace="0"/>
        </w:sectPr>
      </w:pPr>
    </w:p>
    <w:p w14:paraId="1D70C34F">
      <w:pPr>
        <w:jc w:val="center"/>
        <w:rPr>
          <w:rFonts w:ascii="黑体" w:hAnsi="黑体" w:eastAsia="黑体"/>
          <w:bCs/>
          <w:sz w:val="32"/>
          <w:szCs w:val="32"/>
        </w:rPr>
      </w:pPr>
      <w:r>
        <w:rPr>
          <w:rFonts w:hint="eastAsia" w:ascii="黑体" w:hAnsi="黑体" w:eastAsia="黑体"/>
          <w:bCs/>
          <w:sz w:val="32"/>
          <w:szCs w:val="32"/>
        </w:rPr>
        <w:t>前   言</w:t>
      </w:r>
    </w:p>
    <w:p w14:paraId="1772B801">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694C4EDA">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7C34F1D6">
      <w:pPr>
        <w:ind w:firstLine="420" w:firstLineChars="200"/>
        <w:rPr>
          <w:rFonts w:ascii="宋体" w:hAnsi="宋体" w:eastAsia="宋体"/>
        </w:rPr>
      </w:pPr>
      <w:r>
        <w:rPr>
          <w:rFonts w:hint="eastAsia" w:ascii="宋体" w:hAnsi="宋体" w:eastAsia="宋体"/>
        </w:rPr>
        <w:t>本文件由内中国绿色食品发展中心提出。</w:t>
      </w:r>
    </w:p>
    <w:p w14:paraId="5F8D2E9A">
      <w:pPr>
        <w:ind w:firstLine="420" w:firstLineChars="200"/>
        <w:rPr>
          <w:rFonts w:ascii="宋体" w:hAnsi="宋体" w:eastAsia="宋体"/>
        </w:rPr>
      </w:pPr>
      <w:r>
        <w:rPr>
          <w:rFonts w:hint="eastAsia" w:ascii="宋体" w:hAnsi="宋体" w:eastAsia="宋体"/>
        </w:rPr>
        <w:t>本文件由中国绿色食品协会归口。</w:t>
      </w:r>
    </w:p>
    <w:p w14:paraId="54ED99CA">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1" w:name="_GoBack"/>
      <w:bookmarkEnd w:id="1"/>
    </w:p>
    <w:p w14:paraId="149D62BC">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lang w:val="en-US" w:eastAsia="zh-CN"/>
        </w:rPr>
        <w:t>*</w:t>
      </w:r>
    </w:p>
    <w:p w14:paraId="5E0A6095">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p w14:paraId="781F2CE4">
      <w:pPr>
        <w:ind w:firstLine="420" w:firstLineChars="200"/>
        <w:rPr>
          <w:rFonts w:ascii="宋体" w:hAnsi="宋体" w:eastAsia="宋体"/>
        </w:rPr>
      </w:pPr>
      <w:r>
        <w:rPr>
          <w:rFonts w:hint="eastAsia" w:ascii="宋体" w:hAnsi="宋体" w:eastAsia="宋体"/>
        </w:rPr>
        <w:t>本文件为首次发布。</w:t>
      </w:r>
    </w:p>
    <w:p w14:paraId="2FDEE14E"/>
    <w:p w14:paraId="6B4032E8">
      <w:pPr>
        <w:sectPr>
          <w:pgSz w:w="11906" w:h="16838"/>
          <w:pgMar w:top="1440" w:right="1800" w:bottom="1440" w:left="1800" w:header="851" w:footer="992" w:gutter="0"/>
          <w:cols w:space="425" w:num="1"/>
          <w:docGrid w:type="lines" w:linePitch="312" w:charSpace="0"/>
        </w:sectPr>
      </w:pPr>
    </w:p>
    <w:p w14:paraId="76B42623">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 长江上中游甜橙生产操作规程</w:t>
      </w:r>
    </w:p>
    <w:p w14:paraId="192F4A45">
      <w:pPr>
        <w:pStyle w:val="22"/>
        <w:spacing w:before="312" w:after="312"/>
      </w:pPr>
      <w:r>
        <w:rPr>
          <w:rFonts w:hint="eastAsia"/>
        </w:rPr>
        <w:t>范围</w:t>
      </w:r>
    </w:p>
    <w:p w14:paraId="16176775">
      <w:pPr>
        <w:ind w:firstLine="420" w:firstLineChars="200"/>
        <w:rPr>
          <w:rFonts w:ascii="宋体" w:hAnsi="宋体" w:eastAsia="宋体" w:cs="仿宋"/>
          <w:bCs/>
          <w:szCs w:val="21"/>
        </w:rPr>
      </w:pPr>
      <w:r>
        <w:rPr>
          <w:rFonts w:hint="eastAsia" w:ascii="宋体" w:hAnsi="宋体" w:eastAsia="宋体" w:cs="仿宋"/>
          <w:bCs/>
          <w:szCs w:val="21"/>
        </w:rPr>
        <w:t>本文件规定了绿色食品生产资料 长江上中游甜橙的种植、田间管理、原料收获、制作青贮及品质检测的技术要求。</w:t>
      </w:r>
    </w:p>
    <w:p w14:paraId="741E9D49">
      <w:pPr>
        <w:ind w:firstLine="420" w:firstLineChars="200"/>
        <w:rPr>
          <w:rFonts w:ascii="宋体" w:hAnsi="宋体" w:eastAsia="宋体" w:cs="仿宋"/>
          <w:bCs/>
          <w:szCs w:val="21"/>
        </w:rPr>
      </w:pPr>
      <w:r>
        <w:rPr>
          <w:rFonts w:hint="eastAsia" w:ascii="宋体" w:hAnsi="宋体" w:eastAsia="宋体" w:cs="仿宋"/>
          <w:bCs/>
          <w:szCs w:val="21"/>
        </w:rPr>
        <w:t>本文件适用于</w:t>
      </w:r>
      <w:r>
        <w:rPr>
          <w:rFonts w:hint="eastAsia" w:ascii="宋体" w:hAnsi="宋体" w:eastAsia="宋体" w:cs="仿宋_GB2312"/>
          <w:bCs/>
          <w:szCs w:val="21"/>
        </w:rPr>
        <w:t xml:space="preserve">绿色食品生产资料 </w:t>
      </w:r>
      <w:r>
        <w:rPr>
          <w:rFonts w:hint="eastAsia" w:ascii="宋体" w:hAnsi="宋体" w:eastAsia="宋体" w:cs="仿宋"/>
          <w:bCs/>
          <w:szCs w:val="21"/>
        </w:rPr>
        <w:t>长江上中游甜橙的生产</w:t>
      </w:r>
      <w:r>
        <w:rPr>
          <w:rFonts w:hint="eastAsia" w:ascii="宋体" w:hAnsi="宋体" w:eastAsia="宋体" w:cs="仿宋_GB2312"/>
          <w:bCs/>
          <w:szCs w:val="21"/>
        </w:rPr>
        <w:t>、青贮以及品质检测。</w:t>
      </w:r>
    </w:p>
    <w:p w14:paraId="30F0D901">
      <w:pPr>
        <w:pStyle w:val="22"/>
        <w:spacing w:before="312" w:after="312"/>
      </w:pPr>
      <w:r>
        <w:rPr>
          <w:rFonts w:hint="eastAsia"/>
        </w:rPr>
        <w:t>规范性引用文件</w:t>
      </w:r>
    </w:p>
    <w:p w14:paraId="3153A79A">
      <w:pPr>
        <w:tabs>
          <w:tab w:val="left" w:pos="2589"/>
        </w:tabs>
        <w:ind w:firstLine="408"/>
        <w:rPr>
          <w:rFonts w:ascii="宋体" w:hAnsi="宋体" w:eastAsia="宋体" w:cs="仿宋"/>
          <w:bCs/>
          <w:szCs w:val="21"/>
        </w:rPr>
      </w:pPr>
      <w:sdt>
        <w:sdtPr>
          <w:rPr>
            <w:rFonts w:ascii="宋体" w:hAnsi="宋体" w:eastAsia="宋体"/>
          </w:rPr>
          <w:tag w:val="StandNameFile"/>
          <w:id w:val="147452692"/>
          <w:placeholder>
            <w:docPart w:val="436CFE001B6B4908A49B97A3D0411F1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宋体" w:hAnsi="宋体" w:eastAsia="宋体"/>
          </w:rPr>
        </w:sdtEndPr>
        <w:sdtContent>
          <w:r>
            <w:rPr>
              <w:rFonts w:hint="eastAsia" w:ascii="宋体" w:hAnsi="宋体"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77E2141">
      <w:pPr>
        <w:ind w:firstLine="420"/>
        <w:rPr>
          <w:rFonts w:ascii="宋体" w:hAnsi="宋体" w:eastAsia="宋体" w:cs="仿宋"/>
          <w:bCs/>
          <w:szCs w:val="21"/>
        </w:rPr>
      </w:pPr>
      <w:r>
        <w:rPr>
          <w:rFonts w:hint="eastAsia" w:ascii="宋体" w:hAnsi="宋体" w:eastAsia="宋体" w:cs="仿宋"/>
          <w:bCs/>
          <w:szCs w:val="21"/>
        </w:rPr>
        <w:t>GB 13078 饲料卫生标准</w:t>
      </w:r>
    </w:p>
    <w:p w14:paraId="2A40FDCA">
      <w:pPr>
        <w:tabs>
          <w:tab w:val="left" w:pos="2589"/>
        </w:tabs>
        <w:ind w:firstLine="408"/>
        <w:rPr>
          <w:rFonts w:ascii="宋体" w:hAnsi="宋体" w:eastAsia="宋体" w:cs="仿宋"/>
          <w:bCs/>
          <w:szCs w:val="21"/>
        </w:rPr>
      </w:pPr>
      <w:bookmarkStart w:id="0" w:name="OLE_LINK5"/>
      <w:r>
        <w:rPr>
          <w:rFonts w:hint="eastAsia" w:ascii="宋体" w:hAnsi="宋体" w:eastAsia="宋体" w:cs="仿宋"/>
          <w:bCs/>
          <w:szCs w:val="21"/>
        </w:rPr>
        <w:t>GB/T 2930.2 草种子检验规程 净度分析</w:t>
      </w:r>
    </w:p>
    <w:p w14:paraId="2F70D3CB">
      <w:pPr>
        <w:tabs>
          <w:tab w:val="left" w:pos="2589"/>
        </w:tabs>
        <w:ind w:firstLine="408"/>
        <w:rPr>
          <w:rFonts w:ascii="宋体" w:hAnsi="宋体" w:eastAsia="宋体" w:cs="仿宋"/>
          <w:bCs/>
          <w:szCs w:val="21"/>
        </w:rPr>
      </w:pPr>
      <w:r>
        <w:rPr>
          <w:rFonts w:hint="eastAsia" w:ascii="宋体" w:hAnsi="宋体" w:eastAsia="宋体" w:cs="仿宋"/>
          <w:bCs/>
          <w:szCs w:val="21"/>
        </w:rPr>
        <w:t>GB/T 2930.4 草种子检验规程 发芽试验</w:t>
      </w:r>
    </w:p>
    <w:p w14:paraId="2CD2BF78">
      <w:pPr>
        <w:tabs>
          <w:tab w:val="left" w:pos="2589"/>
        </w:tabs>
        <w:ind w:firstLine="408"/>
        <w:rPr>
          <w:rFonts w:ascii="宋体" w:hAnsi="宋体" w:eastAsia="宋体" w:cs="仿宋"/>
          <w:bCs/>
          <w:szCs w:val="21"/>
        </w:rPr>
      </w:pPr>
      <w:r>
        <w:rPr>
          <w:rFonts w:ascii="宋体" w:hAnsi="宋体" w:eastAsia="宋体" w:cs="仿宋"/>
          <w:bCs/>
          <w:szCs w:val="21"/>
        </w:rPr>
        <w:t>GB/T 6432 饲料中粗蛋白的测定 凯氏定氮法</w:t>
      </w:r>
    </w:p>
    <w:p w14:paraId="4D7DA1DA">
      <w:pPr>
        <w:widowControl/>
        <w:ind w:firstLine="420" w:firstLineChars="200"/>
        <w:jc w:val="left"/>
      </w:pPr>
      <w:r>
        <w:rPr>
          <w:rFonts w:hint="eastAsia" w:ascii="宋体" w:hAnsi="宋体" w:eastAsia="宋体" w:cs="宋体"/>
          <w:kern w:val="0"/>
          <w:szCs w:val="21"/>
        </w:rPr>
        <w:t xml:space="preserve">GB/T 6435 饲料中水分的测定 </w:t>
      </w:r>
    </w:p>
    <w:p w14:paraId="3247D43F">
      <w:pPr>
        <w:tabs>
          <w:tab w:val="left" w:pos="2589"/>
        </w:tabs>
        <w:ind w:firstLine="408"/>
        <w:rPr>
          <w:rFonts w:ascii="宋体" w:hAnsi="宋体" w:eastAsia="宋体" w:cs="宋体"/>
          <w:kern w:val="0"/>
          <w:szCs w:val="21"/>
        </w:rPr>
      </w:pPr>
      <w:r>
        <w:rPr>
          <w:rFonts w:hint="eastAsia" w:ascii="宋体" w:hAnsi="宋体" w:eastAsia="宋体" w:cs="宋体"/>
          <w:kern w:val="0"/>
          <w:szCs w:val="21"/>
        </w:rPr>
        <w:t>GB/T 6438 饲料中粗灰分的测定</w:t>
      </w:r>
    </w:p>
    <w:p w14:paraId="107AF089">
      <w:pPr>
        <w:ind w:firstLine="420"/>
        <w:rPr>
          <w:rFonts w:ascii="宋体" w:hAnsi="宋体" w:eastAsia="宋体" w:cs="仿宋"/>
          <w:bCs/>
          <w:szCs w:val="21"/>
        </w:rPr>
      </w:pPr>
      <w:r>
        <w:rPr>
          <w:rFonts w:hint="eastAsia" w:ascii="宋体" w:hAnsi="宋体" w:eastAsia="宋体" w:cs="仿宋"/>
          <w:bCs/>
          <w:szCs w:val="21"/>
        </w:rPr>
        <w:t>GB/T 8321 农药合理使用准则</w:t>
      </w:r>
    </w:p>
    <w:p w14:paraId="7B2B0F2C">
      <w:pPr>
        <w:widowControl/>
        <w:ind w:firstLine="420" w:firstLineChars="200"/>
        <w:jc w:val="left"/>
      </w:pPr>
      <w:r>
        <w:rPr>
          <w:rFonts w:hint="eastAsia" w:ascii="宋体" w:hAnsi="宋体" w:eastAsia="宋体" w:cs="宋体"/>
          <w:kern w:val="0"/>
          <w:szCs w:val="21"/>
        </w:rPr>
        <w:t xml:space="preserve">GB/T 20806 饲料中中性洗涤纤维(NDF)的测定 </w:t>
      </w:r>
    </w:p>
    <w:bookmarkEnd w:id="0"/>
    <w:p w14:paraId="47FBC71B">
      <w:pPr>
        <w:tabs>
          <w:tab w:val="left" w:pos="2589"/>
        </w:tabs>
        <w:ind w:firstLine="408"/>
        <w:rPr>
          <w:rFonts w:ascii="宋体" w:hAnsi="宋体" w:eastAsia="宋体" w:cs="仿宋"/>
          <w:bCs/>
          <w:szCs w:val="21"/>
        </w:rPr>
      </w:pPr>
      <w:r>
        <w:rPr>
          <w:rFonts w:hint="eastAsia" w:ascii="宋体" w:hAnsi="宋体" w:eastAsia="宋体" w:cs="仿宋"/>
          <w:bCs/>
          <w:szCs w:val="21"/>
        </w:rPr>
        <w:t>NY/T 391 绿色食品 产地环境质量</w:t>
      </w:r>
    </w:p>
    <w:p w14:paraId="52408197">
      <w:pPr>
        <w:tabs>
          <w:tab w:val="left" w:pos="2589"/>
        </w:tabs>
        <w:ind w:firstLine="408"/>
        <w:rPr>
          <w:rFonts w:ascii="宋体" w:hAnsi="宋体" w:eastAsia="宋体" w:cs="仿宋"/>
          <w:bCs/>
          <w:szCs w:val="21"/>
        </w:rPr>
      </w:pPr>
      <w:r>
        <w:rPr>
          <w:rFonts w:hint="eastAsia" w:ascii="宋体" w:hAnsi="宋体" w:eastAsia="宋体" w:cs="仿宋"/>
          <w:bCs/>
          <w:szCs w:val="21"/>
        </w:rPr>
        <w:t>NY/T 393 绿色食品 农药使用准则</w:t>
      </w:r>
    </w:p>
    <w:p w14:paraId="3CDBE243">
      <w:pPr>
        <w:tabs>
          <w:tab w:val="left" w:pos="2589"/>
        </w:tabs>
        <w:ind w:firstLine="408"/>
        <w:rPr>
          <w:rFonts w:ascii="宋体" w:hAnsi="宋体" w:eastAsia="宋体" w:cs="仿宋"/>
          <w:bCs/>
          <w:szCs w:val="21"/>
        </w:rPr>
      </w:pPr>
      <w:r>
        <w:rPr>
          <w:rFonts w:hint="eastAsia" w:ascii="宋体" w:hAnsi="宋体" w:eastAsia="宋体" w:cs="仿宋"/>
          <w:bCs/>
          <w:szCs w:val="21"/>
        </w:rPr>
        <w:t>NY/T 394 绿色食品 肥料使用准则</w:t>
      </w:r>
    </w:p>
    <w:p w14:paraId="0AFC1D33">
      <w:pPr>
        <w:tabs>
          <w:tab w:val="left" w:pos="2589"/>
        </w:tabs>
        <w:ind w:firstLine="408"/>
        <w:rPr>
          <w:rFonts w:ascii="宋体" w:hAnsi="宋体" w:eastAsia="宋体" w:cs="仿宋_GB2312"/>
          <w:bCs/>
          <w:szCs w:val="21"/>
        </w:rPr>
      </w:pPr>
      <w:r>
        <w:rPr>
          <w:rFonts w:hint="eastAsia" w:ascii="宋体" w:hAnsi="宋体" w:eastAsia="宋体" w:cs="仿宋_GB2312"/>
          <w:bCs/>
          <w:szCs w:val="21"/>
        </w:rPr>
        <w:t>NY/T 471 绿色食品 饲料及饲料添加剂使用准则</w:t>
      </w:r>
    </w:p>
    <w:p w14:paraId="7DE1E57B">
      <w:pPr>
        <w:tabs>
          <w:tab w:val="left" w:pos="2589"/>
        </w:tabs>
        <w:ind w:firstLine="408"/>
      </w:pPr>
      <w:r>
        <w:rPr>
          <w:rFonts w:hint="eastAsia" w:ascii="宋体" w:hAnsi="宋体" w:eastAsia="宋体" w:cs="仿宋"/>
          <w:bCs/>
          <w:szCs w:val="21"/>
        </w:rPr>
        <w:t>NY/T 1276 农药安全使用规范 总则</w:t>
      </w:r>
    </w:p>
    <w:p w14:paraId="5AC16BB7">
      <w:pPr>
        <w:widowControl/>
        <w:ind w:firstLine="420" w:firstLineChars="200"/>
        <w:jc w:val="left"/>
      </w:pPr>
      <w:r>
        <w:rPr>
          <w:rFonts w:hint="eastAsia" w:ascii="宋体" w:hAnsi="宋体" w:eastAsia="宋体" w:cs="宋体"/>
          <w:kern w:val="0"/>
          <w:szCs w:val="21"/>
        </w:rPr>
        <w:t xml:space="preserve">NY/T 1459 饲料中酸性洗涤纤维的测定 </w:t>
      </w:r>
    </w:p>
    <w:p w14:paraId="1F3532C4">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2129 饲草产品抽样技术规程</w:t>
      </w:r>
    </w:p>
    <w:p w14:paraId="65143A63">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2911 测土配方施肥技术规程</w:t>
      </w:r>
    </w:p>
    <w:p w14:paraId="39FE7184">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GB 12475  农药贮运、销售和使用的防毒规程</w:t>
      </w:r>
    </w:p>
    <w:p w14:paraId="4FB27FD7">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GB/T 8321（所有部分） 农药合理使用准则</w:t>
      </w:r>
    </w:p>
    <w:p w14:paraId="6119D512">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GB/T 15772  水土保持综合治理 规划通则</w:t>
      </w:r>
    </w:p>
    <w:p w14:paraId="3628588D">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391  绿色食品 产地环境质量</w:t>
      </w:r>
    </w:p>
    <w:p w14:paraId="0B5F93D7">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393  绿色食品 农药使用准则</w:t>
      </w:r>
    </w:p>
    <w:p w14:paraId="70A79B10">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394  绿色食品 肥料使用准则</w:t>
      </w:r>
    </w:p>
    <w:p w14:paraId="5D5C4502">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NY/T 426  绿色食品 柑橘类水果</w:t>
      </w:r>
    </w:p>
    <w:p w14:paraId="343099B4">
      <w:pPr>
        <w:tabs>
          <w:tab w:val="left" w:pos="2589"/>
        </w:tabs>
        <w:ind w:firstLine="408"/>
        <w:rPr>
          <w:rFonts w:ascii="宋体" w:hAnsi="宋体" w:eastAsia="宋体" w:cs="仿宋_GB2312"/>
          <w:bCs/>
          <w:szCs w:val="21"/>
        </w:rPr>
      </w:pPr>
    </w:p>
    <w:p w14:paraId="38C0C9AC">
      <w:pPr>
        <w:tabs>
          <w:tab w:val="left" w:pos="2589"/>
        </w:tabs>
        <w:ind w:firstLine="408"/>
        <w:rPr>
          <w:rFonts w:ascii="宋体" w:hAnsi="宋体" w:eastAsia="宋体" w:cs="仿宋_GB2312"/>
          <w:bCs/>
          <w:szCs w:val="21"/>
        </w:rPr>
      </w:pPr>
      <w:r>
        <w:rPr>
          <w:rFonts w:hint="eastAsia" w:ascii="宋体" w:hAnsi="宋体" w:eastAsia="宋体" w:cs="宋体"/>
          <w:kern w:val="0"/>
          <w:szCs w:val="21"/>
        </w:rPr>
        <w:t>中国绿色食品协会《绿色食品生产资料标志管理办法》及《绿色食品生产资料标志管理办法实施细则》（饲料及饲料添加剂）</w:t>
      </w:r>
    </w:p>
    <w:p w14:paraId="7F62F916">
      <w:pPr>
        <w:widowControl/>
        <w:spacing w:line="360" w:lineRule="auto"/>
        <w:rPr>
          <w:rFonts w:ascii="黑体" w:hAnsi="黑体" w:eastAsia="黑体" w:cs="仿宋"/>
          <w:bCs/>
          <w:szCs w:val="21"/>
        </w:rPr>
      </w:pPr>
    </w:p>
    <w:p w14:paraId="1D0FA2C5">
      <w:pPr>
        <w:pStyle w:val="28"/>
        <w:spacing w:line="360" w:lineRule="auto"/>
        <w:ind w:firstLine="0" w:firstLineChars="0"/>
        <w:contextualSpacing/>
        <w:rPr>
          <w:rFonts w:ascii="黑体" w:hAnsi="黑体" w:eastAsia="黑体"/>
        </w:rPr>
      </w:pPr>
      <w:r>
        <w:rPr>
          <w:rFonts w:hint="eastAsia" w:ascii="黑体" w:hAnsi="黑体" w:eastAsia="黑体"/>
        </w:rPr>
        <w:t xml:space="preserve">3 </w:t>
      </w:r>
      <w:r>
        <w:rPr>
          <w:rFonts w:ascii="黑体" w:hAnsi="黑体" w:eastAsia="黑体"/>
        </w:rPr>
        <w:t>产地环境</w:t>
      </w:r>
    </w:p>
    <w:p w14:paraId="6D80B5DA">
      <w:pPr>
        <w:pStyle w:val="28"/>
        <w:spacing w:line="360" w:lineRule="auto"/>
        <w:ind w:firstLine="0" w:firstLineChars="0"/>
        <w:contextualSpacing/>
        <w:rPr>
          <w:rFonts w:ascii="黑体" w:hAnsi="黑体" w:eastAsia="黑体"/>
        </w:rPr>
      </w:pPr>
      <w:r>
        <w:rPr>
          <w:rFonts w:hint="eastAsia" w:ascii="黑体" w:hAnsi="黑体" w:eastAsia="黑体"/>
        </w:rPr>
        <w:t>3</w:t>
      </w:r>
      <w:r>
        <w:rPr>
          <w:rFonts w:ascii="黑体" w:hAnsi="黑体" w:eastAsia="黑体"/>
        </w:rPr>
        <w:t>.1</w:t>
      </w:r>
      <w:r>
        <w:rPr>
          <w:rFonts w:hint="eastAsia" w:ascii="黑体" w:hAnsi="黑体" w:eastAsia="黑体"/>
        </w:rPr>
        <w:t xml:space="preserve"> </w:t>
      </w:r>
      <w:r>
        <w:rPr>
          <w:rFonts w:ascii="黑体" w:hAnsi="黑体" w:eastAsia="黑体"/>
        </w:rPr>
        <w:t>气候条件</w:t>
      </w:r>
    </w:p>
    <w:p w14:paraId="3D83B0D7">
      <w:pPr>
        <w:pStyle w:val="28"/>
        <w:spacing w:line="360" w:lineRule="auto"/>
        <w:ind w:firstLine="411" w:firstLineChars="196"/>
        <w:contextualSpacing/>
        <w:rPr>
          <w:rFonts w:ascii="宋体" w:hAnsi="宋体"/>
        </w:rPr>
      </w:pPr>
      <w:r>
        <w:rPr>
          <w:rFonts w:ascii="宋体" w:hAnsi="宋体"/>
        </w:rPr>
        <w:t>年平均温度17℃～21℃，绝对最低温度≥-3℃，1月平均温度≥6.5℃，≥10℃的年活动积温5500℃以上，年日照时数≥1000h，降雨量≥800mm。</w:t>
      </w:r>
    </w:p>
    <w:p w14:paraId="3527D394">
      <w:pPr>
        <w:pStyle w:val="28"/>
        <w:spacing w:line="360" w:lineRule="auto"/>
        <w:ind w:firstLine="0" w:firstLineChars="0"/>
        <w:contextualSpacing/>
        <w:rPr>
          <w:rFonts w:ascii="黑体" w:hAnsi="黑体" w:eastAsia="黑体"/>
        </w:rPr>
      </w:pPr>
      <w:r>
        <w:rPr>
          <w:rFonts w:hint="eastAsia" w:ascii="黑体" w:hAnsi="黑体" w:eastAsia="黑体"/>
        </w:rPr>
        <w:t>3</w:t>
      </w:r>
      <w:r>
        <w:rPr>
          <w:rFonts w:ascii="黑体" w:hAnsi="黑体" w:eastAsia="黑体"/>
        </w:rPr>
        <w:t>.2</w:t>
      </w:r>
      <w:r>
        <w:rPr>
          <w:rFonts w:hint="eastAsia" w:ascii="黑体" w:hAnsi="黑体" w:eastAsia="黑体"/>
        </w:rPr>
        <w:t xml:space="preserve"> </w:t>
      </w:r>
      <w:r>
        <w:rPr>
          <w:rFonts w:ascii="黑体" w:hAnsi="黑体" w:eastAsia="黑体"/>
        </w:rPr>
        <w:t>土壤条件</w:t>
      </w:r>
    </w:p>
    <w:p w14:paraId="54107323">
      <w:pPr>
        <w:pStyle w:val="28"/>
        <w:spacing w:line="360" w:lineRule="auto"/>
        <w:ind w:firstLine="411" w:firstLineChars="196"/>
        <w:contextualSpacing/>
        <w:rPr>
          <w:rFonts w:ascii="宋体" w:hAnsi="宋体"/>
        </w:rPr>
      </w:pPr>
      <w:r>
        <w:rPr>
          <w:rFonts w:ascii="宋体" w:hAnsi="宋体"/>
        </w:rPr>
        <w:t>土壤质量应符合 NY/T 391 的要求。土壤微酸性至中性，pH值6.0～7.5，砂壤土或壤土，质地良好，土层深厚，疏松肥沃，有机质含量≥1.5％，地下水位1m 以下。</w:t>
      </w:r>
    </w:p>
    <w:p w14:paraId="76444781">
      <w:pPr>
        <w:pStyle w:val="29"/>
        <w:spacing w:line="360" w:lineRule="auto"/>
        <w:ind w:firstLine="0"/>
        <w:rPr>
          <w:rFonts w:ascii="黑体" w:hAnsi="黑体" w:eastAsia="黑体"/>
          <w:kern w:val="2"/>
          <w:sz w:val="21"/>
          <w:szCs w:val="21"/>
        </w:rPr>
      </w:pPr>
      <w:r>
        <w:rPr>
          <w:rFonts w:hint="eastAsia" w:ascii="黑体" w:hAnsi="黑体" w:eastAsia="黑体"/>
          <w:kern w:val="2"/>
          <w:sz w:val="21"/>
          <w:szCs w:val="21"/>
        </w:rPr>
        <w:t>3</w:t>
      </w:r>
      <w:r>
        <w:rPr>
          <w:rFonts w:ascii="黑体" w:hAnsi="黑体" w:eastAsia="黑体"/>
          <w:kern w:val="2"/>
          <w:sz w:val="21"/>
          <w:szCs w:val="21"/>
        </w:rPr>
        <w:t>.3</w:t>
      </w:r>
      <w:r>
        <w:rPr>
          <w:rFonts w:hint="eastAsia" w:ascii="黑体" w:hAnsi="黑体" w:eastAsia="黑体"/>
          <w:kern w:val="2"/>
          <w:sz w:val="21"/>
          <w:szCs w:val="21"/>
        </w:rPr>
        <w:t xml:space="preserve"> </w:t>
      </w:r>
      <w:r>
        <w:rPr>
          <w:rFonts w:ascii="黑体" w:hAnsi="黑体" w:eastAsia="黑体"/>
          <w:kern w:val="2"/>
          <w:sz w:val="21"/>
          <w:szCs w:val="21"/>
        </w:rPr>
        <w:t>地形地势</w:t>
      </w:r>
    </w:p>
    <w:p w14:paraId="422E9869">
      <w:pPr>
        <w:pStyle w:val="29"/>
        <w:spacing w:line="360" w:lineRule="auto"/>
        <w:ind w:firstLine="420"/>
        <w:rPr>
          <w:rFonts w:hAnsi="宋体"/>
          <w:kern w:val="2"/>
          <w:sz w:val="21"/>
          <w:szCs w:val="21"/>
        </w:rPr>
      </w:pPr>
      <w:r>
        <w:rPr>
          <w:rFonts w:hAnsi="宋体"/>
          <w:kern w:val="2"/>
          <w:sz w:val="21"/>
          <w:szCs w:val="21"/>
        </w:rPr>
        <w:t>坡度在25</w:t>
      </w:r>
      <w:r>
        <w:rPr>
          <w:rFonts w:hAnsi="宋体"/>
          <w:kern w:val="2"/>
          <w:sz w:val="21"/>
          <w:szCs w:val="21"/>
          <w:vertAlign w:val="superscript"/>
        </w:rPr>
        <w:t>0</w:t>
      </w:r>
      <w:r>
        <w:rPr>
          <w:rFonts w:hAnsi="宋体"/>
          <w:kern w:val="2"/>
          <w:sz w:val="21"/>
          <w:szCs w:val="21"/>
        </w:rPr>
        <w:t>以下的平坝、丘陵、山地。</w:t>
      </w:r>
    </w:p>
    <w:p w14:paraId="45942CFA">
      <w:pPr>
        <w:pStyle w:val="29"/>
        <w:spacing w:line="360" w:lineRule="auto"/>
        <w:ind w:firstLine="0"/>
        <w:rPr>
          <w:rFonts w:ascii="黑体" w:hAnsi="黑体" w:eastAsia="黑体"/>
          <w:kern w:val="2"/>
          <w:sz w:val="21"/>
          <w:szCs w:val="21"/>
        </w:rPr>
      </w:pPr>
      <w:r>
        <w:rPr>
          <w:rFonts w:hint="eastAsia" w:ascii="黑体" w:hAnsi="黑体" w:eastAsia="黑体"/>
          <w:kern w:val="2"/>
          <w:sz w:val="21"/>
          <w:szCs w:val="21"/>
        </w:rPr>
        <w:t>3</w:t>
      </w:r>
      <w:r>
        <w:rPr>
          <w:rFonts w:ascii="黑体" w:hAnsi="黑体" w:eastAsia="黑体"/>
          <w:kern w:val="2"/>
          <w:sz w:val="21"/>
          <w:szCs w:val="21"/>
        </w:rPr>
        <w:t>.4</w:t>
      </w:r>
      <w:r>
        <w:rPr>
          <w:rFonts w:hint="eastAsia" w:ascii="黑体" w:hAnsi="黑体" w:eastAsia="黑体"/>
          <w:kern w:val="2"/>
          <w:sz w:val="21"/>
          <w:szCs w:val="21"/>
        </w:rPr>
        <w:t xml:space="preserve"> </w:t>
      </w:r>
      <w:r>
        <w:rPr>
          <w:rFonts w:ascii="黑体" w:hAnsi="黑体" w:eastAsia="黑体"/>
          <w:kern w:val="2"/>
          <w:sz w:val="21"/>
          <w:szCs w:val="21"/>
        </w:rPr>
        <w:t>环境质量</w:t>
      </w:r>
    </w:p>
    <w:p w14:paraId="48406FF2">
      <w:pPr>
        <w:pStyle w:val="29"/>
        <w:spacing w:line="360" w:lineRule="auto"/>
        <w:ind w:firstLine="420" w:firstLineChars="200"/>
        <w:rPr>
          <w:rFonts w:hAnsi="宋体"/>
          <w:kern w:val="2"/>
          <w:sz w:val="21"/>
          <w:szCs w:val="21"/>
        </w:rPr>
      </w:pPr>
      <w:r>
        <w:rPr>
          <w:rFonts w:hAnsi="宋体"/>
          <w:kern w:val="2"/>
          <w:sz w:val="21"/>
          <w:szCs w:val="21"/>
        </w:rPr>
        <w:t>选择生态环境良好、无污染的地区，远离工矿区和公路铁路干线，避开污染源。在绿色食品和常规生产区域之间设置有效的缓冲带或物理屏障，以防止绿色食品生产基地受到污染。产地环境条件应符合 NY/T 391 的要求。</w:t>
      </w:r>
    </w:p>
    <w:p w14:paraId="42C44215">
      <w:pPr>
        <w:pStyle w:val="29"/>
        <w:spacing w:line="360" w:lineRule="auto"/>
        <w:ind w:firstLine="0"/>
        <w:rPr>
          <w:rFonts w:ascii="黑体" w:hAnsi="黑体" w:eastAsia="黑体"/>
          <w:kern w:val="2"/>
          <w:sz w:val="21"/>
          <w:szCs w:val="21"/>
        </w:rPr>
      </w:pPr>
      <w:r>
        <w:rPr>
          <w:rFonts w:hint="eastAsia" w:ascii="黑体" w:hAnsi="黑体" w:eastAsia="黑体"/>
          <w:kern w:val="2"/>
          <w:sz w:val="21"/>
          <w:szCs w:val="21"/>
        </w:rPr>
        <w:t xml:space="preserve">4 </w:t>
      </w:r>
      <w:r>
        <w:rPr>
          <w:rFonts w:ascii="黑体" w:hAnsi="黑体" w:eastAsia="黑体"/>
          <w:kern w:val="2"/>
          <w:sz w:val="21"/>
          <w:szCs w:val="21"/>
        </w:rPr>
        <w:t>品种选择</w:t>
      </w:r>
    </w:p>
    <w:p w14:paraId="2300374D">
      <w:pPr>
        <w:pStyle w:val="28"/>
        <w:spacing w:line="360" w:lineRule="auto"/>
        <w:ind w:firstLine="411" w:firstLineChars="196"/>
        <w:contextualSpacing/>
        <w:rPr>
          <w:rFonts w:ascii="宋体" w:hAnsi="宋体"/>
        </w:rPr>
      </w:pPr>
      <w:r>
        <w:rPr>
          <w:rFonts w:ascii="宋体" w:hAnsi="宋体"/>
        </w:rPr>
        <w:t>选择适宜本地区生长的优质丰产、有较强抗病性、抗逆性的甜橙类品种，可选用脐橙类（纽荷尔、奈维林娜、清家、21世纪、新世纪、福本、早红、卡拉卡拉、夏金、伦晚、奉晚等）</w:t>
      </w:r>
      <w:r>
        <w:rPr>
          <w:rFonts w:hint="eastAsia" w:ascii="宋体" w:hAnsi="宋体"/>
        </w:rPr>
        <w:t>、</w:t>
      </w:r>
      <w:r>
        <w:rPr>
          <w:rFonts w:ascii="宋体" w:hAnsi="宋体"/>
        </w:rPr>
        <w:t>血橙类（塔罗科血橙、脐血橙等）</w:t>
      </w:r>
      <w:r>
        <w:rPr>
          <w:rFonts w:hint="eastAsia" w:ascii="宋体" w:hAnsi="宋体"/>
        </w:rPr>
        <w:t>、</w:t>
      </w:r>
      <w:r>
        <w:rPr>
          <w:rFonts w:ascii="宋体" w:hAnsi="宋体"/>
        </w:rPr>
        <w:t>普通甜橙类（锦橙、梨形橙、蓬安100号、长叶香橙、锦橙101、桃叶橙8号、桃叶橙18号、桃叶橙139号等）</w:t>
      </w:r>
      <w:r>
        <w:rPr>
          <w:rFonts w:hint="eastAsia" w:ascii="宋体" w:hAnsi="宋体"/>
        </w:rPr>
        <w:t>、</w:t>
      </w:r>
      <w:r>
        <w:rPr>
          <w:rFonts w:ascii="宋体" w:hAnsi="宋体"/>
        </w:rPr>
        <w:t>夏橙类（密奈、奥林达等）等。</w:t>
      </w:r>
    </w:p>
    <w:p w14:paraId="64BD0278">
      <w:pPr>
        <w:pStyle w:val="28"/>
        <w:spacing w:line="360" w:lineRule="auto"/>
        <w:ind w:firstLine="411" w:firstLineChars="196"/>
        <w:contextualSpacing/>
        <w:rPr>
          <w:rFonts w:ascii="宋体" w:hAnsi="宋体"/>
        </w:rPr>
      </w:pPr>
      <w:r>
        <w:rPr>
          <w:rFonts w:ascii="宋体" w:hAnsi="宋体"/>
        </w:rPr>
        <w:t>砧木选用资阳香橙、枳壳、红桔、枳橙等。碱性土不用枳作砧木。</w:t>
      </w:r>
    </w:p>
    <w:p w14:paraId="313B34F2">
      <w:pPr>
        <w:pStyle w:val="29"/>
        <w:spacing w:line="360" w:lineRule="auto"/>
        <w:ind w:firstLine="0"/>
        <w:rPr>
          <w:rFonts w:ascii="黑体" w:hAnsi="黑体" w:eastAsia="黑体"/>
          <w:sz w:val="21"/>
          <w:szCs w:val="21"/>
        </w:rPr>
      </w:pPr>
      <w:r>
        <w:rPr>
          <w:rFonts w:hint="eastAsia" w:ascii="黑体" w:hAnsi="黑体" w:eastAsia="黑体"/>
          <w:sz w:val="21"/>
          <w:szCs w:val="21"/>
        </w:rPr>
        <w:t xml:space="preserve">5 </w:t>
      </w:r>
      <w:r>
        <w:rPr>
          <w:rFonts w:ascii="黑体" w:hAnsi="黑体" w:eastAsia="黑体"/>
          <w:sz w:val="21"/>
          <w:szCs w:val="21"/>
        </w:rPr>
        <w:t>栽植</w:t>
      </w:r>
    </w:p>
    <w:p w14:paraId="5A4B3188">
      <w:pPr>
        <w:pStyle w:val="29"/>
        <w:spacing w:line="360" w:lineRule="auto"/>
        <w:ind w:firstLine="0"/>
        <w:rPr>
          <w:rFonts w:ascii="黑体" w:hAnsi="黑体" w:eastAsia="黑体"/>
          <w:sz w:val="21"/>
          <w:szCs w:val="21"/>
        </w:rPr>
      </w:pPr>
      <w:r>
        <w:rPr>
          <w:rFonts w:hint="eastAsia" w:ascii="黑体" w:hAnsi="黑体" w:eastAsia="黑体"/>
          <w:sz w:val="21"/>
          <w:szCs w:val="21"/>
        </w:rPr>
        <w:t>5</w:t>
      </w:r>
      <w:r>
        <w:rPr>
          <w:rFonts w:ascii="黑体" w:hAnsi="黑体" w:eastAsia="黑体"/>
          <w:sz w:val="21"/>
          <w:szCs w:val="21"/>
        </w:rPr>
        <w:t>.1</w:t>
      </w:r>
      <w:r>
        <w:rPr>
          <w:rFonts w:hint="eastAsia" w:ascii="黑体" w:hAnsi="黑体" w:eastAsia="黑体"/>
          <w:sz w:val="21"/>
          <w:szCs w:val="21"/>
        </w:rPr>
        <w:t xml:space="preserve"> </w:t>
      </w:r>
      <w:r>
        <w:rPr>
          <w:rFonts w:ascii="黑体" w:hAnsi="黑体" w:eastAsia="黑体"/>
          <w:sz w:val="21"/>
          <w:szCs w:val="21"/>
        </w:rPr>
        <w:t>园地规划</w:t>
      </w:r>
    </w:p>
    <w:p w14:paraId="16F309A4">
      <w:pPr>
        <w:pStyle w:val="29"/>
        <w:spacing w:line="360" w:lineRule="auto"/>
        <w:ind w:firstLine="420" w:firstLineChars="200"/>
        <w:rPr>
          <w:rFonts w:hAnsi="宋体"/>
          <w:sz w:val="21"/>
          <w:szCs w:val="21"/>
        </w:rPr>
      </w:pPr>
      <w:r>
        <w:rPr>
          <w:rFonts w:hAnsi="宋体"/>
          <w:sz w:val="21"/>
          <w:szCs w:val="21"/>
        </w:rPr>
        <w:t>划分小区,修筑必要的道路、排灌和蓄水、附属建筑等设施。如需要建防护林，应选择速生树种，并与甜橙没有共生性病虫害。</w:t>
      </w:r>
    </w:p>
    <w:p w14:paraId="15B5FB2E">
      <w:pPr>
        <w:pStyle w:val="29"/>
        <w:spacing w:line="360" w:lineRule="auto"/>
        <w:ind w:firstLine="420" w:firstLineChars="200"/>
        <w:rPr>
          <w:rFonts w:hAnsi="宋体"/>
          <w:sz w:val="21"/>
          <w:szCs w:val="21"/>
        </w:rPr>
      </w:pPr>
      <w:r>
        <w:rPr>
          <w:rFonts w:hAnsi="宋体"/>
          <w:sz w:val="21"/>
          <w:szCs w:val="21"/>
        </w:rPr>
        <w:t>平地及坡度在6°以下的缓坡地，栽植行为南北向，建议宽行窄株，采用机械壕沟改土或挖定植沟，聚土起垄，1行树1条垄。坡度在6°～25°的山地、丘陵地，建园时宜修筑水平梯地，梯面宽3.0</w:t>
      </w:r>
      <w:r>
        <w:rPr>
          <w:rFonts w:hint="eastAsia" w:hAnsi="宋体"/>
          <w:sz w:val="21"/>
          <w:szCs w:val="21"/>
        </w:rPr>
        <w:t>m</w:t>
      </w:r>
      <w:r>
        <w:rPr>
          <w:rFonts w:hAnsi="宋体"/>
          <w:sz w:val="21"/>
          <w:szCs w:val="21"/>
        </w:rPr>
        <w:t>～4.5m，梯面比降3‰～5‰。栽植行的行向与梯地走向相同，推荐采用等高栽植，开挖等高壕沟或挖穴改土栽植。水土保持综合治理按GB/T 15772执行。</w:t>
      </w:r>
    </w:p>
    <w:p w14:paraId="5EE9EE87">
      <w:pPr>
        <w:pStyle w:val="29"/>
        <w:spacing w:line="360" w:lineRule="auto"/>
        <w:ind w:firstLine="0"/>
        <w:rPr>
          <w:rFonts w:ascii="黑体" w:hAnsi="黑体" w:eastAsia="黑体"/>
          <w:sz w:val="21"/>
          <w:szCs w:val="21"/>
        </w:rPr>
      </w:pPr>
      <w:r>
        <w:rPr>
          <w:rFonts w:hint="eastAsia" w:ascii="黑体" w:hAnsi="黑体" w:eastAsia="黑体"/>
          <w:sz w:val="21"/>
          <w:szCs w:val="21"/>
        </w:rPr>
        <w:t>5</w:t>
      </w:r>
      <w:r>
        <w:rPr>
          <w:rFonts w:ascii="黑体" w:hAnsi="黑体" w:eastAsia="黑体"/>
          <w:sz w:val="21"/>
          <w:szCs w:val="21"/>
        </w:rPr>
        <w:t>.2</w:t>
      </w:r>
      <w:r>
        <w:rPr>
          <w:rFonts w:hint="eastAsia" w:ascii="黑体" w:hAnsi="黑体" w:eastAsia="黑体"/>
          <w:sz w:val="21"/>
          <w:szCs w:val="21"/>
        </w:rPr>
        <w:t xml:space="preserve"> </w:t>
      </w:r>
      <w:r>
        <w:rPr>
          <w:rFonts w:ascii="黑体" w:hAnsi="黑体" w:eastAsia="黑体"/>
          <w:sz w:val="21"/>
          <w:szCs w:val="21"/>
        </w:rPr>
        <w:t>苗木质量</w:t>
      </w:r>
    </w:p>
    <w:p w14:paraId="12FBAAF1">
      <w:pPr>
        <w:pStyle w:val="29"/>
        <w:spacing w:line="360" w:lineRule="auto"/>
        <w:ind w:firstLine="420" w:firstLineChars="200"/>
        <w:rPr>
          <w:rFonts w:hAnsi="宋体"/>
          <w:sz w:val="21"/>
          <w:szCs w:val="21"/>
        </w:rPr>
      </w:pPr>
      <w:r>
        <w:rPr>
          <w:rFonts w:hint="eastAsia"/>
          <w:sz w:val="21"/>
          <w:szCs w:val="21"/>
        </w:rPr>
        <w:t>检疫合格且无病的嫁接苗</w:t>
      </w:r>
      <w:r>
        <w:rPr>
          <w:rFonts w:hAnsi="宋体"/>
          <w:sz w:val="21"/>
          <w:szCs w:val="21"/>
        </w:rPr>
        <w:t>。嫁接口高度10</w:t>
      </w:r>
      <w:r>
        <w:rPr>
          <w:rFonts w:hint="eastAsia" w:hAnsi="宋体"/>
          <w:sz w:val="21"/>
          <w:szCs w:val="21"/>
        </w:rPr>
        <w:t>cm</w:t>
      </w:r>
      <w:r>
        <w:rPr>
          <w:rFonts w:hAnsi="宋体"/>
          <w:sz w:val="21"/>
          <w:szCs w:val="21"/>
        </w:rPr>
        <w:t>～15cm。1年生苗高50cm以上，嫁接口以上2cm处主干粗度≥0.6cm，根系完整，主干直立(倾斜度≤15°)。提倡栽植容器苗、脱毒苗。</w:t>
      </w:r>
    </w:p>
    <w:p w14:paraId="502F8E0D">
      <w:pPr>
        <w:pStyle w:val="29"/>
        <w:spacing w:line="360" w:lineRule="auto"/>
        <w:ind w:firstLine="0"/>
        <w:rPr>
          <w:rFonts w:ascii="黑体" w:hAnsi="黑体" w:eastAsia="黑体"/>
          <w:sz w:val="21"/>
          <w:szCs w:val="21"/>
        </w:rPr>
      </w:pPr>
      <w:r>
        <w:rPr>
          <w:rFonts w:hint="eastAsia" w:ascii="黑体" w:hAnsi="黑体" w:eastAsia="黑体"/>
          <w:sz w:val="21"/>
          <w:szCs w:val="21"/>
        </w:rPr>
        <w:t>5</w:t>
      </w:r>
      <w:r>
        <w:rPr>
          <w:rFonts w:ascii="黑体" w:hAnsi="黑体" w:eastAsia="黑体"/>
          <w:sz w:val="21"/>
          <w:szCs w:val="21"/>
        </w:rPr>
        <w:t>.3</w:t>
      </w:r>
      <w:r>
        <w:rPr>
          <w:rFonts w:hint="eastAsia" w:ascii="黑体" w:hAnsi="黑体" w:eastAsia="黑体"/>
          <w:sz w:val="21"/>
          <w:szCs w:val="21"/>
        </w:rPr>
        <w:t xml:space="preserve"> </w:t>
      </w:r>
      <w:r>
        <w:rPr>
          <w:rFonts w:ascii="黑体" w:hAnsi="黑体" w:eastAsia="黑体"/>
          <w:sz w:val="21"/>
          <w:szCs w:val="21"/>
        </w:rPr>
        <w:t>栽植时间</w:t>
      </w:r>
    </w:p>
    <w:p w14:paraId="178E7E6E">
      <w:pPr>
        <w:pStyle w:val="29"/>
        <w:spacing w:line="360" w:lineRule="auto"/>
        <w:ind w:firstLine="420" w:firstLineChars="200"/>
        <w:rPr>
          <w:rFonts w:ascii="黑体" w:hAnsi="黑体" w:eastAsia="黑体"/>
          <w:sz w:val="21"/>
          <w:szCs w:val="21"/>
        </w:rPr>
      </w:pPr>
      <w:r>
        <w:rPr>
          <w:rFonts w:ascii="Times New Roman" w:hAnsi="宋体"/>
          <w:sz w:val="21"/>
          <w:szCs w:val="21"/>
        </w:rPr>
        <w:t>一般在</w:t>
      </w:r>
      <w:r>
        <w:rPr>
          <w:rFonts w:hAnsi="宋体"/>
          <w:sz w:val="21"/>
          <w:szCs w:val="21"/>
        </w:rPr>
        <w:t>2</w:t>
      </w:r>
      <w:r>
        <w:rPr>
          <w:rFonts w:ascii="Times New Roman" w:hAnsi="宋体"/>
          <w:sz w:val="21"/>
          <w:szCs w:val="21"/>
        </w:rPr>
        <w:t>月下旬～</w:t>
      </w:r>
      <w:r>
        <w:rPr>
          <w:rFonts w:hAnsi="宋体"/>
          <w:sz w:val="21"/>
          <w:szCs w:val="21"/>
        </w:rPr>
        <w:t>3</w:t>
      </w:r>
      <w:r>
        <w:rPr>
          <w:rFonts w:ascii="Times New Roman" w:hAnsi="宋体"/>
          <w:sz w:val="21"/>
          <w:szCs w:val="21"/>
        </w:rPr>
        <w:t>月中旬春梢萌芽前春季定植或</w:t>
      </w:r>
      <w:r>
        <w:rPr>
          <w:rFonts w:hAnsi="宋体"/>
          <w:sz w:val="21"/>
          <w:szCs w:val="21"/>
        </w:rPr>
        <w:t>9月</w:t>
      </w:r>
      <w:r>
        <w:rPr>
          <w:rFonts w:ascii="Times New Roman" w:hAnsi="宋体"/>
          <w:sz w:val="21"/>
          <w:szCs w:val="21"/>
        </w:rPr>
        <w:t>中下旬秋梢老熟后秋季定植，部分区域可在</w:t>
      </w:r>
      <w:r>
        <w:rPr>
          <w:rFonts w:hAnsi="宋体"/>
          <w:sz w:val="21"/>
          <w:szCs w:val="21"/>
        </w:rPr>
        <w:t>5～6月</w:t>
      </w:r>
      <w:r>
        <w:rPr>
          <w:rFonts w:ascii="Times New Roman" w:hAnsi="宋体"/>
          <w:sz w:val="21"/>
          <w:szCs w:val="21"/>
        </w:rPr>
        <w:t>雨季来临前定植。一般气温低于</w:t>
      </w:r>
      <w:r>
        <w:rPr>
          <w:rFonts w:hAnsi="宋体"/>
          <w:sz w:val="21"/>
          <w:szCs w:val="21"/>
        </w:rPr>
        <w:t>13</w:t>
      </w:r>
      <w:r>
        <w:rPr>
          <w:rFonts w:hint="eastAsia" w:hAnsi="宋体"/>
          <w:sz w:val="21"/>
          <w:szCs w:val="21"/>
        </w:rPr>
        <w:t xml:space="preserve"> </w:t>
      </w:r>
      <w:r>
        <w:rPr>
          <w:rFonts w:hAnsi="宋体"/>
          <w:sz w:val="21"/>
          <w:szCs w:val="21"/>
        </w:rPr>
        <w:t>℃</w:t>
      </w:r>
      <w:r>
        <w:rPr>
          <w:rFonts w:ascii="Times New Roman" w:hAnsi="宋体"/>
          <w:sz w:val="21"/>
          <w:szCs w:val="21"/>
        </w:rPr>
        <w:t>或高于</w:t>
      </w:r>
      <w:r>
        <w:rPr>
          <w:rFonts w:hAnsi="宋体"/>
          <w:sz w:val="21"/>
          <w:szCs w:val="21"/>
        </w:rPr>
        <w:t>30</w:t>
      </w:r>
      <w:r>
        <w:rPr>
          <w:rFonts w:hint="eastAsia" w:hAnsi="宋体"/>
          <w:sz w:val="21"/>
          <w:szCs w:val="21"/>
        </w:rPr>
        <w:t xml:space="preserve"> </w:t>
      </w:r>
      <w:r>
        <w:rPr>
          <w:rFonts w:hAnsi="宋体"/>
          <w:sz w:val="21"/>
          <w:szCs w:val="21"/>
        </w:rPr>
        <w:t>℃</w:t>
      </w:r>
      <w:r>
        <w:rPr>
          <w:rFonts w:ascii="Times New Roman" w:hAnsi="宋体"/>
          <w:sz w:val="21"/>
          <w:szCs w:val="21"/>
        </w:rPr>
        <w:t>不宜栽植。</w:t>
      </w:r>
    </w:p>
    <w:p w14:paraId="1F0D53CD">
      <w:pPr>
        <w:pStyle w:val="29"/>
        <w:spacing w:line="360" w:lineRule="auto"/>
        <w:ind w:firstLine="0"/>
        <w:rPr>
          <w:rFonts w:ascii="黑体" w:hAnsi="黑体" w:eastAsia="黑体"/>
          <w:sz w:val="21"/>
          <w:szCs w:val="21"/>
        </w:rPr>
      </w:pPr>
      <w:r>
        <w:rPr>
          <w:rFonts w:hint="eastAsia" w:ascii="黑体" w:hAnsi="黑体" w:eastAsia="黑体"/>
          <w:sz w:val="21"/>
          <w:szCs w:val="21"/>
        </w:rPr>
        <w:t>5</w:t>
      </w:r>
      <w:r>
        <w:rPr>
          <w:rFonts w:ascii="黑体" w:hAnsi="黑体" w:eastAsia="黑体"/>
          <w:sz w:val="21"/>
          <w:szCs w:val="21"/>
        </w:rPr>
        <w:t>.4</w:t>
      </w:r>
      <w:r>
        <w:rPr>
          <w:rFonts w:hint="eastAsia" w:ascii="黑体" w:hAnsi="黑体" w:eastAsia="黑体"/>
          <w:sz w:val="21"/>
          <w:szCs w:val="21"/>
        </w:rPr>
        <w:t xml:space="preserve"> </w:t>
      </w:r>
      <w:r>
        <w:rPr>
          <w:rFonts w:ascii="黑体" w:hAnsi="黑体" w:eastAsia="黑体"/>
          <w:sz w:val="21"/>
          <w:szCs w:val="21"/>
        </w:rPr>
        <w:t>栽植密度</w:t>
      </w:r>
    </w:p>
    <w:p w14:paraId="787A2BFC">
      <w:pPr>
        <w:pStyle w:val="29"/>
        <w:spacing w:line="360" w:lineRule="auto"/>
        <w:ind w:firstLine="420" w:firstLineChars="200"/>
        <w:rPr>
          <w:rFonts w:hAnsi="宋体"/>
          <w:sz w:val="21"/>
          <w:szCs w:val="21"/>
        </w:rPr>
      </w:pPr>
      <w:r>
        <w:rPr>
          <w:rFonts w:hAnsi="宋体"/>
          <w:sz w:val="21"/>
          <w:szCs w:val="21"/>
        </w:rPr>
        <w:t>栽植密度根据砧穗组合、环境条件和管理水平等而定，一般平坝和缓坡地株行距为3</w:t>
      </w:r>
      <w:r>
        <w:rPr>
          <w:rFonts w:hint="eastAsia" w:hAnsi="宋体"/>
          <w:sz w:val="21"/>
          <w:szCs w:val="21"/>
        </w:rPr>
        <w:t>m</w:t>
      </w:r>
      <w:r>
        <w:rPr>
          <w:rFonts w:hAnsi="宋体"/>
          <w:sz w:val="21"/>
          <w:szCs w:val="21"/>
        </w:rPr>
        <w:t>～4m×4</w:t>
      </w:r>
      <w:r>
        <w:rPr>
          <w:rFonts w:hint="eastAsia" w:hAnsi="宋体"/>
          <w:sz w:val="21"/>
          <w:szCs w:val="21"/>
        </w:rPr>
        <w:t>m</w:t>
      </w:r>
      <w:r>
        <w:rPr>
          <w:rFonts w:hAnsi="宋体"/>
          <w:sz w:val="21"/>
          <w:szCs w:val="21"/>
        </w:rPr>
        <w:t>～5m。山地和丘陵等高台地栽植株行距可适当加密。</w:t>
      </w:r>
    </w:p>
    <w:p w14:paraId="6CD06DF8">
      <w:pPr>
        <w:pStyle w:val="29"/>
        <w:spacing w:line="360" w:lineRule="auto"/>
        <w:ind w:firstLine="0"/>
        <w:rPr>
          <w:rFonts w:ascii="黑体" w:hAnsi="黑体" w:eastAsia="黑体"/>
          <w:sz w:val="21"/>
          <w:szCs w:val="21"/>
        </w:rPr>
      </w:pPr>
      <w:r>
        <w:rPr>
          <w:rFonts w:hint="eastAsia" w:ascii="黑体" w:hAnsi="黑体" w:eastAsia="黑体"/>
          <w:sz w:val="21"/>
          <w:szCs w:val="21"/>
        </w:rPr>
        <w:t>5</w:t>
      </w:r>
      <w:r>
        <w:rPr>
          <w:rFonts w:ascii="黑体" w:hAnsi="黑体" w:eastAsia="黑体"/>
          <w:sz w:val="21"/>
          <w:szCs w:val="21"/>
        </w:rPr>
        <w:t>.5</w:t>
      </w:r>
      <w:r>
        <w:rPr>
          <w:rFonts w:hint="eastAsia" w:ascii="黑体" w:hAnsi="黑体" w:eastAsia="黑体"/>
          <w:sz w:val="21"/>
          <w:szCs w:val="21"/>
        </w:rPr>
        <w:t xml:space="preserve"> </w:t>
      </w:r>
      <w:r>
        <w:rPr>
          <w:rFonts w:ascii="黑体" w:hAnsi="黑体" w:eastAsia="黑体"/>
          <w:sz w:val="21"/>
          <w:szCs w:val="21"/>
        </w:rPr>
        <w:t>栽植技术</w:t>
      </w:r>
    </w:p>
    <w:p w14:paraId="6B861CAD">
      <w:pPr>
        <w:pStyle w:val="29"/>
        <w:spacing w:line="360" w:lineRule="auto"/>
        <w:ind w:firstLine="420" w:firstLineChars="200"/>
        <w:rPr>
          <w:rFonts w:ascii="Times New Roman"/>
          <w:sz w:val="21"/>
          <w:szCs w:val="21"/>
        </w:rPr>
      </w:pPr>
      <w:r>
        <w:rPr>
          <w:rFonts w:ascii="Times New Roman" w:hAnsi="宋体"/>
          <w:sz w:val="21"/>
          <w:szCs w:val="21"/>
        </w:rPr>
        <w:t>栽植沟或栽植穴内施入以腐熟农家肥为主的有机肥料，将肥料与土混匀填入地平面</w:t>
      </w:r>
      <w:r>
        <w:rPr>
          <w:rFonts w:hAnsi="宋体"/>
          <w:sz w:val="21"/>
          <w:szCs w:val="21"/>
        </w:rPr>
        <w:t>40cm</w:t>
      </w:r>
      <w:r>
        <w:rPr>
          <w:rFonts w:ascii="Times New Roman" w:hAnsi="宋体"/>
          <w:sz w:val="21"/>
          <w:szCs w:val="21"/>
        </w:rPr>
        <w:t>以下。</w:t>
      </w:r>
    </w:p>
    <w:p w14:paraId="6AE922F4">
      <w:pPr>
        <w:pStyle w:val="29"/>
        <w:spacing w:line="360" w:lineRule="auto"/>
        <w:ind w:firstLine="420" w:firstLineChars="200"/>
        <w:rPr>
          <w:rFonts w:hAnsi="宋体"/>
          <w:sz w:val="21"/>
          <w:szCs w:val="21"/>
        </w:rPr>
      </w:pPr>
      <w:r>
        <w:rPr>
          <w:rFonts w:hAnsi="宋体"/>
          <w:sz w:val="21"/>
          <w:szCs w:val="21"/>
        </w:rPr>
        <w:t>清除苗木嫁接膜、适度修剪苗木的根系和枝叶，剪去过长主根、伤根和幼嫩的晚秋梢。将苗木根部放入穴中央，舒展根系，扶正，边填细土边轻轻向上提苗、踏实。栽植深度以土壤下沉后苗木根颈露出地面为宜。定植后需勤浇水，灌水后树盘可覆盖薄膜、稻草或秕壳以保墒。</w:t>
      </w:r>
    </w:p>
    <w:p w14:paraId="3B097FFB">
      <w:pPr>
        <w:pStyle w:val="29"/>
        <w:spacing w:line="360" w:lineRule="auto"/>
        <w:ind w:firstLine="0"/>
        <w:rPr>
          <w:rFonts w:ascii="黑体" w:hAnsi="黑体" w:eastAsia="黑体"/>
          <w:sz w:val="21"/>
          <w:szCs w:val="21"/>
        </w:rPr>
      </w:pPr>
      <w:r>
        <w:rPr>
          <w:rFonts w:hint="eastAsia" w:ascii="黑体" w:hAnsi="黑体" w:eastAsia="黑体"/>
          <w:sz w:val="21"/>
          <w:szCs w:val="21"/>
        </w:rPr>
        <w:t xml:space="preserve">6 </w:t>
      </w:r>
      <w:r>
        <w:rPr>
          <w:rFonts w:ascii="黑体" w:hAnsi="黑体" w:eastAsia="黑体"/>
          <w:sz w:val="21"/>
          <w:szCs w:val="21"/>
        </w:rPr>
        <w:t>田间管理</w:t>
      </w:r>
    </w:p>
    <w:p w14:paraId="3550D986">
      <w:pPr>
        <w:pStyle w:val="4"/>
        <w:adjustRightInd w:val="0"/>
        <w:snapToGrid w:val="0"/>
        <w:spacing w:before="50" w:after="50" w:line="400" w:lineRule="exact"/>
        <w:rPr>
          <w:rFonts w:hAnsi="宋体"/>
          <w:b w:val="0"/>
          <w:bCs/>
        </w:rPr>
      </w:pPr>
      <w:r>
        <w:rPr>
          <w:rFonts w:hint="eastAsia" w:ascii="黑体" w:hAnsi="宋体" w:eastAsia="黑体"/>
          <w:b w:val="0"/>
          <w:bCs/>
        </w:rPr>
        <w:t>6</w:t>
      </w:r>
      <w:r>
        <w:rPr>
          <w:rFonts w:ascii="黑体" w:hAnsi="宋体" w:eastAsia="黑体"/>
          <w:b w:val="0"/>
          <w:bCs/>
        </w:rPr>
        <w:t>.1</w:t>
      </w:r>
      <w:r>
        <w:rPr>
          <w:rFonts w:hint="eastAsia" w:ascii="黑体" w:hAnsi="宋体" w:eastAsia="黑体"/>
          <w:b w:val="0"/>
          <w:bCs/>
        </w:rPr>
        <w:t>土壤管理</w:t>
      </w:r>
    </w:p>
    <w:p w14:paraId="2C52CF67">
      <w:pPr>
        <w:pStyle w:val="4"/>
        <w:adjustRightInd w:val="0"/>
        <w:snapToGrid w:val="0"/>
        <w:spacing w:before="50" w:after="50" w:line="400" w:lineRule="exact"/>
        <w:rPr>
          <w:rFonts w:ascii="黑体" w:hAnsi="宋体" w:eastAsia="黑体"/>
          <w:b w:val="0"/>
          <w:bCs/>
        </w:rPr>
      </w:pPr>
      <w:r>
        <w:rPr>
          <w:rFonts w:hint="eastAsia" w:ascii="黑体" w:hAnsi="宋体" w:eastAsia="黑体"/>
          <w:b w:val="0"/>
          <w:bCs/>
        </w:rPr>
        <w:t>6</w:t>
      </w:r>
      <w:r>
        <w:rPr>
          <w:rFonts w:ascii="黑体" w:hAnsi="宋体" w:eastAsia="黑体"/>
          <w:b w:val="0"/>
          <w:bCs/>
        </w:rPr>
        <w:t>.1.</w:t>
      </w:r>
      <w:r>
        <w:rPr>
          <w:rFonts w:hint="eastAsia" w:ascii="黑体" w:hAnsi="宋体" w:eastAsia="黑体"/>
          <w:b w:val="0"/>
          <w:bCs/>
        </w:rPr>
        <w:t>1 深翻扩穴，熟化土壤</w:t>
      </w:r>
    </w:p>
    <w:p w14:paraId="180B9E3A">
      <w:pPr>
        <w:pStyle w:val="29"/>
        <w:spacing w:line="360" w:lineRule="auto"/>
        <w:ind w:firstLine="420" w:firstLineChars="200"/>
        <w:rPr>
          <w:rFonts w:hAnsi="宋体"/>
          <w:sz w:val="21"/>
          <w:szCs w:val="21"/>
        </w:rPr>
      </w:pPr>
      <w:r>
        <w:rPr>
          <w:rFonts w:hint="eastAsia" w:hAnsi="宋体"/>
          <w:sz w:val="21"/>
          <w:szCs w:val="21"/>
        </w:rPr>
        <w:t>对于土层浅、土质差、肥力低的果园需要进行深翻扩穴，从树冠外围滴水线处开始，逐年向外扩展40cm～50cm，深40cm～60cm，尽量少伤大根。深翻应结合施有机肥，在秋梢停长后至春季发芽前进行为宜，但冬季低温期不宜进行深翻。回填时混以符合</w:t>
      </w:r>
      <w:r>
        <w:rPr>
          <w:rFonts w:hAnsi="宋体"/>
          <w:sz w:val="21"/>
          <w:szCs w:val="21"/>
        </w:rPr>
        <w:t>NY/T 394的要求</w:t>
      </w:r>
      <w:r>
        <w:rPr>
          <w:rFonts w:hint="eastAsia" w:hAnsi="宋体"/>
          <w:sz w:val="21"/>
          <w:szCs w:val="21"/>
        </w:rPr>
        <w:t>规定的有机肥，表土放在底层，心土放在表层，然后对穴内灌足水分。</w:t>
      </w:r>
    </w:p>
    <w:p w14:paraId="528C5F00">
      <w:pPr>
        <w:pStyle w:val="4"/>
        <w:adjustRightInd w:val="0"/>
        <w:snapToGrid w:val="0"/>
        <w:spacing w:before="50" w:after="50" w:line="400" w:lineRule="exact"/>
        <w:rPr>
          <w:rFonts w:ascii="黑体" w:hAnsi="宋体" w:eastAsia="黑体"/>
          <w:b w:val="0"/>
          <w:bCs/>
        </w:rPr>
      </w:pPr>
      <w:r>
        <w:rPr>
          <w:rFonts w:hint="eastAsia" w:ascii="黑体" w:hAnsi="宋体" w:eastAsia="黑体"/>
          <w:b w:val="0"/>
          <w:bCs/>
        </w:rPr>
        <w:t>6</w:t>
      </w:r>
      <w:r>
        <w:rPr>
          <w:rFonts w:ascii="黑体" w:hAnsi="宋体" w:eastAsia="黑体"/>
          <w:b w:val="0"/>
          <w:bCs/>
        </w:rPr>
        <w:t>.</w:t>
      </w:r>
      <w:r>
        <w:rPr>
          <w:rFonts w:hint="eastAsia" w:ascii="黑体" w:hAnsi="宋体" w:eastAsia="黑体"/>
          <w:b w:val="0"/>
          <w:bCs/>
        </w:rPr>
        <w:t>1</w:t>
      </w:r>
      <w:r>
        <w:rPr>
          <w:rFonts w:ascii="黑体" w:hAnsi="宋体" w:eastAsia="黑体"/>
          <w:b w:val="0"/>
          <w:bCs/>
        </w:rPr>
        <w:t>.</w:t>
      </w:r>
      <w:r>
        <w:rPr>
          <w:rFonts w:hint="eastAsia" w:ascii="黑体" w:hAnsi="宋体" w:eastAsia="黑体"/>
          <w:b w:val="0"/>
          <w:bCs/>
        </w:rPr>
        <w:t>2 间作或生草</w:t>
      </w:r>
    </w:p>
    <w:p w14:paraId="41F6E49C">
      <w:pPr>
        <w:pStyle w:val="29"/>
        <w:spacing w:line="360" w:lineRule="auto"/>
        <w:ind w:firstLine="420" w:firstLineChars="200"/>
        <w:rPr>
          <w:rFonts w:hAnsi="宋体"/>
          <w:sz w:val="21"/>
          <w:szCs w:val="21"/>
        </w:rPr>
      </w:pPr>
      <w:r>
        <w:rPr>
          <w:rFonts w:hint="eastAsia" w:hAnsi="宋体"/>
          <w:sz w:val="21"/>
          <w:szCs w:val="21"/>
        </w:rPr>
        <w:t>甜橙园宜实行生草制，在行间或树盘外间作浅根、矮秆的豆科植物、牧草或绿肥（如黑麦草、三叶草、藿香蓟、紫花苜蓿、光叶紫花苕、紫云英等）。间作物、草类应与甜橙无同类病虫，忌藤蔓、高秆作物。每年刈割1～2次，在草旺盛生长季节或夏季高温前刈割覆盖树盘、行间或翻埋。</w:t>
      </w:r>
    </w:p>
    <w:p w14:paraId="54D2A7AA">
      <w:pPr>
        <w:pStyle w:val="4"/>
        <w:adjustRightInd w:val="0"/>
        <w:snapToGrid w:val="0"/>
        <w:spacing w:before="50" w:after="50" w:line="400" w:lineRule="exact"/>
        <w:rPr>
          <w:rFonts w:hAnsi="宋体"/>
          <w:b w:val="0"/>
          <w:bCs/>
        </w:rPr>
      </w:pPr>
      <w:r>
        <w:rPr>
          <w:rFonts w:hint="eastAsia" w:ascii="黑体" w:hAnsi="宋体" w:eastAsia="黑体"/>
          <w:b w:val="0"/>
          <w:bCs/>
        </w:rPr>
        <w:t>6</w:t>
      </w:r>
      <w:r>
        <w:rPr>
          <w:rFonts w:ascii="黑体" w:hAnsi="宋体" w:eastAsia="黑体"/>
          <w:b w:val="0"/>
          <w:bCs/>
        </w:rPr>
        <w:t>.</w:t>
      </w:r>
      <w:r>
        <w:rPr>
          <w:rFonts w:hint="eastAsia" w:ascii="黑体" w:hAnsi="宋体" w:eastAsia="黑体"/>
          <w:b w:val="0"/>
          <w:bCs/>
        </w:rPr>
        <w:t>1</w:t>
      </w:r>
      <w:r>
        <w:rPr>
          <w:rFonts w:ascii="黑体" w:hAnsi="宋体" w:eastAsia="黑体"/>
          <w:b w:val="0"/>
          <w:bCs/>
        </w:rPr>
        <w:t>.</w:t>
      </w:r>
      <w:r>
        <w:rPr>
          <w:rFonts w:hint="eastAsia" w:ascii="黑体" w:hAnsi="宋体" w:eastAsia="黑体"/>
          <w:b w:val="0"/>
          <w:bCs/>
        </w:rPr>
        <w:t>3 覆盖与培土</w:t>
      </w:r>
    </w:p>
    <w:p w14:paraId="1ACD5EF9">
      <w:pPr>
        <w:pStyle w:val="29"/>
        <w:spacing w:line="360" w:lineRule="auto"/>
        <w:ind w:firstLine="420" w:firstLineChars="200"/>
        <w:rPr>
          <w:rFonts w:hAnsi="宋体"/>
          <w:sz w:val="21"/>
          <w:szCs w:val="21"/>
        </w:rPr>
      </w:pPr>
      <w:r>
        <w:rPr>
          <w:rFonts w:hint="eastAsia" w:hAnsi="宋体"/>
          <w:sz w:val="21"/>
          <w:szCs w:val="21"/>
        </w:rPr>
        <w:t>在冬、夏两季，用麦秆、麦糠、稻草、油菜壳等覆盖树盘，覆盖物应与根颈保持10cm左右的距离。培土在秋、冬季进行。</w:t>
      </w:r>
    </w:p>
    <w:p w14:paraId="1C5BFC78">
      <w:pPr>
        <w:pStyle w:val="4"/>
        <w:adjustRightInd w:val="0"/>
        <w:snapToGrid w:val="0"/>
        <w:spacing w:before="50" w:after="50" w:line="400" w:lineRule="exact"/>
        <w:rPr>
          <w:rFonts w:hAnsi="宋体"/>
          <w:b w:val="0"/>
          <w:bCs/>
        </w:rPr>
      </w:pPr>
      <w:r>
        <w:rPr>
          <w:rFonts w:hint="eastAsia" w:ascii="黑体" w:hAnsi="宋体" w:eastAsia="黑体"/>
          <w:b w:val="0"/>
          <w:bCs/>
        </w:rPr>
        <w:t>6</w:t>
      </w:r>
      <w:r>
        <w:rPr>
          <w:rFonts w:ascii="黑体" w:hAnsi="宋体" w:eastAsia="黑体"/>
          <w:b w:val="0"/>
          <w:bCs/>
        </w:rPr>
        <w:t>.</w:t>
      </w:r>
      <w:r>
        <w:rPr>
          <w:rFonts w:hint="eastAsia" w:ascii="黑体" w:hAnsi="宋体" w:eastAsia="黑体"/>
          <w:b w:val="0"/>
          <w:bCs/>
        </w:rPr>
        <w:t>1</w:t>
      </w:r>
      <w:r>
        <w:rPr>
          <w:rFonts w:ascii="黑体" w:hAnsi="宋体" w:eastAsia="黑体"/>
          <w:b w:val="0"/>
          <w:bCs/>
        </w:rPr>
        <w:t>.</w:t>
      </w:r>
      <w:r>
        <w:rPr>
          <w:rFonts w:hint="eastAsia" w:ascii="黑体" w:hAnsi="宋体" w:eastAsia="黑体"/>
          <w:b w:val="0"/>
          <w:bCs/>
        </w:rPr>
        <w:t>4 除草</w:t>
      </w:r>
    </w:p>
    <w:p w14:paraId="1AD4C99F">
      <w:pPr>
        <w:pStyle w:val="29"/>
        <w:spacing w:line="360" w:lineRule="auto"/>
        <w:ind w:firstLine="420" w:firstLineChars="200"/>
        <w:rPr>
          <w:rFonts w:hAnsi="宋体"/>
          <w:sz w:val="21"/>
          <w:szCs w:val="21"/>
        </w:rPr>
      </w:pPr>
      <w:r>
        <w:rPr>
          <w:rFonts w:hint="eastAsia" w:hAnsi="宋体"/>
          <w:sz w:val="21"/>
          <w:szCs w:val="21"/>
        </w:rPr>
        <w:t>不实行生草栽培的果园每年除草2～3次，在夏、秋季或采果后进行。</w:t>
      </w:r>
    </w:p>
    <w:p w14:paraId="4E0DD96F">
      <w:pPr>
        <w:pStyle w:val="29"/>
        <w:spacing w:line="360" w:lineRule="auto"/>
        <w:ind w:firstLine="0"/>
        <w:rPr>
          <w:rFonts w:ascii="黑体" w:hAnsi="黑体" w:eastAsia="黑体"/>
          <w:sz w:val="21"/>
          <w:szCs w:val="21"/>
        </w:rPr>
      </w:pPr>
      <w:r>
        <w:rPr>
          <w:rFonts w:hint="eastAsia" w:ascii="黑体" w:hAnsi="黑体" w:eastAsia="黑体"/>
          <w:sz w:val="21"/>
          <w:szCs w:val="21"/>
        </w:rPr>
        <w:t>6</w:t>
      </w:r>
      <w:r>
        <w:rPr>
          <w:rFonts w:ascii="黑体" w:hAnsi="黑体" w:eastAsia="黑体"/>
          <w:sz w:val="21"/>
          <w:szCs w:val="21"/>
        </w:rPr>
        <w:t>.</w:t>
      </w:r>
      <w:r>
        <w:rPr>
          <w:rFonts w:hint="eastAsia" w:ascii="黑体" w:hAnsi="黑体" w:eastAsia="黑体"/>
          <w:sz w:val="21"/>
          <w:szCs w:val="21"/>
        </w:rPr>
        <w:t xml:space="preserve">2 </w:t>
      </w:r>
      <w:r>
        <w:rPr>
          <w:rFonts w:ascii="黑体" w:hAnsi="黑体" w:eastAsia="黑体"/>
          <w:sz w:val="21"/>
          <w:szCs w:val="21"/>
        </w:rPr>
        <w:t>施肥</w:t>
      </w:r>
    </w:p>
    <w:p w14:paraId="12451D20">
      <w:pPr>
        <w:pStyle w:val="29"/>
        <w:spacing w:line="360" w:lineRule="auto"/>
        <w:ind w:firstLine="0"/>
        <w:rPr>
          <w:rFonts w:ascii="黑体" w:hAnsi="黑体" w:eastAsia="黑体"/>
          <w:sz w:val="21"/>
          <w:szCs w:val="21"/>
        </w:rPr>
      </w:pPr>
      <w:r>
        <w:rPr>
          <w:rFonts w:hint="eastAsia" w:ascii="黑体" w:hAnsi="黑体" w:eastAsia="黑体"/>
          <w:sz w:val="21"/>
          <w:szCs w:val="21"/>
        </w:rPr>
        <w:t>6</w:t>
      </w:r>
      <w:r>
        <w:rPr>
          <w:rFonts w:ascii="黑体" w:hAnsi="黑体" w:eastAsia="黑体"/>
          <w:sz w:val="21"/>
          <w:szCs w:val="21"/>
        </w:rPr>
        <w:t>.</w:t>
      </w:r>
      <w:r>
        <w:rPr>
          <w:rFonts w:hint="eastAsia" w:ascii="黑体" w:hAnsi="黑体" w:eastAsia="黑体"/>
          <w:sz w:val="21"/>
          <w:szCs w:val="21"/>
        </w:rPr>
        <w:t>2</w:t>
      </w:r>
      <w:r>
        <w:rPr>
          <w:rFonts w:ascii="黑体" w:hAnsi="黑体" w:eastAsia="黑体"/>
          <w:sz w:val="21"/>
          <w:szCs w:val="21"/>
        </w:rPr>
        <w:t>.1</w:t>
      </w:r>
      <w:r>
        <w:rPr>
          <w:rFonts w:hint="eastAsia" w:ascii="黑体" w:hAnsi="黑体" w:eastAsia="黑体"/>
          <w:sz w:val="21"/>
          <w:szCs w:val="21"/>
        </w:rPr>
        <w:t xml:space="preserve"> </w:t>
      </w:r>
      <w:r>
        <w:rPr>
          <w:rFonts w:ascii="黑体" w:hAnsi="黑体" w:eastAsia="黑体"/>
          <w:sz w:val="21"/>
          <w:szCs w:val="21"/>
        </w:rPr>
        <w:t>施肥原则</w:t>
      </w:r>
    </w:p>
    <w:p w14:paraId="2696A84B">
      <w:pPr>
        <w:pStyle w:val="28"/>
        <w:spacing w:line="360" w:lineRule="auto"/>
        <w:ind w:firstLine="0" w:firstLineChars="0"/>
        <w:contextualSpacing/>
        <w:rPr>
          <w:rFonts w:ascii="黑体" w:hAnsi="黑体" w:eastAsia="黑体"/>
        </w:rPr>
      </w:pPr>
      <w:r>
        <w:rPr>
          <w:rFonts w:hint="eastAsia" w:hAnsi="宋体"/>
        </w:rPr>
        <w:t xml:space="preserve">    </w:t>
      </w:r>
      <w:r>
        <w:rPr>
          <w:rFonts w:hAnsi="宋体"/>
        </w:rPr>
        <w:t>施用的肥料</w:t>
      </w:r>
      <w:r>
        <w:rPr>
          <w:rFonts w:hint="eastAsia" w:hAnsi="宋体"/>
        </w:rPr>
        <w:t>应</w:t>
      </w:r>
      <w:r>
        <w:rPr>
          <w:rFonts w:hAnsi="宋体"/>
        </w:rPr>
        <w:t>符合</w:t>
      </w:r>
      <w:r>
        <w:rPr>
          <w:rFonts w:ascii="宋体" w:hAnsi="宋体"/>
        </w:rPr>
        <w:t>NY/T 394</w:t>
      </w:r>
      <w:r>
        <w:rPr>
          <w:rFonts w:hAnsi="宋体"/>
        </w:rPr>
        <w:t>的要求。以有机肥（含农家肥）为主，商品化肥、微生物肥为辅；所用肥料对环境无不良影响，尤其是不加剧土壤酸化，有利于保护生态环境和提高土壤肥力及质量；使用安全、优质的肥料，不对植株生长发育和果实外观内质产生不良后果；在保障</w:t>
      </w:r>
      <w:r>
        <w:rPr>
          <w:rFonts w:hint="eastAsia" w:hAnsi="宋体"/>
        </w:rPr>
        <w:t>甜橙</w:t>
      </w:r>
      <w:r>
        <w:rPr>
          <w:rFonts w:hAnsi="宋体"/>
        </w:rPr>
        <w:t>营养平衡的基础上减少化肥用量，化学氮肥用量不得高于总施氮量的一半</w:t>
      </w:r>
      <w:r>
        <w:rPr>
          <w:rFonts w:hint="eastAsia" w:hAnsi="宋体"/>
        </w:rPr>
        <w:t>，</w:t>
      </w:r>
      <w:r>
        <w:rPr>
          <w:rFonts w:hint="eastAsia"/>
        </w:rPr>
        <w:t>有针对性地补充中、微量元素肥料，</w:t>
      </w:r>
      <w:r>
        <w:rPr>
          <w:rFonts w:hAnsi="宋体"/>
        </w:rPr>
        <w:t>兼顾各营养元素之间的比例协调，</w:t>
      </w:r>
      <w:r>
        <w:rPr>
          <w:rFonts w:hint="eastAsia"/>
        </w:rPr>
        <w:t>充分满足甜橙对各种营养元素的需求。</w:t>
      </w:r>
    </w:p>
    <w:p w14:paraId="17986E9A">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2</w:t>
      </w:r>
      <w:r>
        <w:rPr>
          <w:rFonts w:ascii="黑体" w:hAnsi="黑体" w:eastAsia="黑体"/>
        </w:rPr>
        <w:t>.</w:t>
      </w:r>
      <w:r>
        <w:rPr>
          <w:rFonts w:hint="eastAsia" w:ascii="黑体" w:hAnsi="黑体" w:eastAsia="黑体"/>
        </w:rPr>
        <w:t xml:space="preserve">2  </w:t>
      </w:r>
      <w:r>
        <w:rPr>
          <w:rFonts w:ascii="黑体" w:hAnsi="黑体" w:eastAsia="黑体"/>
        </w:rPr>
        <w:t>施肥方法</w:t>
      </w:r>
    </w:p>
    <w:p w14:paraId="1DD3C553">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2</w:t>
      </w:r>
      <w:r>
        <w:rPr>
          <w:rFonts w:ascii="黑体" w:hAnsi="黑体" w:eastAsia="黑体"/>
        </w:rPr>
        <w:t>.</w:t>
      </w:r>
      <w:r>
        <w:rPr>
          <w:rFonts w:hint="eastAsia" w:ascii="黑体" w:hAnsi="黑体" w:eastAsia="黑体"/>
        </w:rPr>
        <w:t>2</w:t>
      </w:r>
      <w:r>
        <w:rPr>
          <w:rFonts w:ascii="黑体" w:hAnsi="黑体" w:eastAsia="黑体"/>
        </w:rPr>
        <w:t>.1</w:t>
      </w:r>
      <w:r>
        <w:rPr>
          <w:rFonts w:hint="eastAsia" w:ascii="黑体" w:hAnsi="黑体" w:eastAsia="黑体"/>
        </w:rPr>
        <w:t xml:space="preserve"> </w:t>
      </w:r>
      <w:r>
        <w:rPr>
          <w:rFonts w:ascii="黑体" w:hAnsi="黑体" w:eastAsia="黑体"/>
        </w:rPr>
        <w:t>土壤施肥</w:t>
      </w:r>
    </w:p>
    <w:p w14:paraId="4CA5924E">
      <w:pPr>
        <w:pStyle w:val="28"/>
        <w:spacing w:line="360" w:lineRule="auto"/>
        <w:contextualSpacing/>
        <w:rPr>
          <w:rFonts w:ascii="宋体" w:hAnsi="宋体"/>
        </w:rPr>
      </w:pPr>
      <w:r>
        <w:rPr>
          <w:rFonts w:ascii="宋体" w:hAnsi="宋体"/>
        </w:rPr>
        <w:t>采用环状沟施、条沟施、放射状沟施、穴施等方法。在树冠滴水线外侧挖沟(穴)，深度20</w:t>
      </w:r>
      <w:r>
        <w:rPr>
          <w:rFonts w:hint="eastAsia" w:ascii="宋体" w:hAnsi="宋体"/>
        </w:rPr>
        <w:t>cm</w:t>
      </w:r>
      <w:r>
        <w:rPr>
          <w:rFonts w:ascii="宋体" w:hAnsi="宋体"/>
        </w:rPr>
        <w:t>～40cm。东西、南北对称轮换位置施肥。化肥溶于粪水一起施用。土面撒施的肥料应选用缓释肥为主。速溶化肥应浅沟(穴)施，有微喷和滴灌设施的果园，可进行液体施肥。</w:t>
      </w:r>
    </w:p>
    <w:p w14:paraId="339E1ED5">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2</w:t>
      </w:r>
      <w:r>
        <w:rPr>
          <w:rFonts w:ascii="黑体" w:hAnsi="黑体" w:eastAsia="黑体"/>
        </w:rPr>
        <w:t>.</w:t>
      </w:r>
      <w:r>
        <w:rPr>
          <w:rFonts w:hint="eastAsia" w:ascii="黑体" w:hAnsi="黑体" w:eastAsia="黑体"/>
        </w:rPr>
        <w:t>2</w:t>
      </w:r>
      <w:r>
        <w:rPr>
          <w:rFonts w:ascii="黑体" w:hAnsi="黑体" w:eastAsia="黑体"/>
        </w:rPr>
        <w:t>.2</w:t>
      </w:r>
      <w:r>
        <w:rPr>
          <w:rFonts w:hint="eastAsia" w:ascii="黑体" w:hAnsi="黑体" w:eastAsia="黑体"/>
        </w:rPr>
        <w:t xml:space="preserve"> </w:t>
      </w:r>
      <w:r>
        <w:rPr>
          <w:rFonts w:ascii="黑体" w:hAnsi="黑体" w:eastAsia="黑体"/>
        </w:rPr>
        <w:t>叶面追肥</w:t>
      </w:r>
    </w:p>
    <w:p w14:paraId="5E129720">
      <w:pPr>
        <w:pStyle w:val="28"/>
        <w:spacing w:line="360" w:lineRule="auto"/>
        <w:contextualSpacing/>
        <w:rPr>
          <w:rFonts w:ascii="宋体" w:hAnsi="宋体"/>
        </w:rPr>
      </w:pPr>
      <w:r>
        <w:rPr>
          <w:rFonts w:ascii="宋体" w:hAnsi="宋体"/>
        </w:rPr>
        <w:t>选用适宜的大量元素肥料或微量元素肥料进行叶面喷施，在新梢展叶后至老熟前喷</w:t>
      </w:r>
      <w:r>
        <w:rPr>
          <w:rFonts w:hint="eastAsia" w:ascii="宋体" w:hAnsi="宋体"/>
        </w:rPr>
        <w:t>施</w:t>
      </w:r>
      <w:r>
        <w:rPr>
          <w:rFonts w:ascii="宋体" w:hAnsi="宋体"/>
        </w:rPr>
        <w:t>，以补充树体对营养的需求。成年结果树主要在春、秋梢生长期酌情进行叶面追肥。叶面追肥可结合病虫害防治进行。叶面追肥在高温干旱期应按使用范围的下限施用。</w:t>
      </w:r>
    </w:p>
    <w:p w14:paraId="175CCDCF">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2</w:t>
      </w:r>
      <w:r>
        <w:rPr>
          <w:rFonts w:ascii="黑体" w:hAnsi="黑体" w:eastAsia="黑体"/>
        </w:rPr>
        <w:t>.</w:t>
      </w:r>
      <w:r>
        <w:rPr>
          <w:rFonts w:hint="eastAsia" w:ascii="黑体" w:hAnsi="黑体" w:eastAsia="黑体"/>
        </w:rPr>
        <w:t xml:space="preserve">3 </w:t>
      </w:r>
      <w:r>
        <w:rPr>
          <w:rFonts w:ascii="黑体" w:hAnsi="黑体" w:eastAsia="黑体"/>
        </w:rPr>
        <w:t>幼树施肥</w:t>
      </w:r>
    </w:p>
    <w:p w14:paraId="5168F07B">
      <w:pPr>
        <w:pStyle w:val="28"/>
        <w:spacing w:line="360" w:lineRule="auto"/>
        <w:contextualSpacing/>
        <w:rPr>
          <w:rFonts w:ascii="宋体" w:hAnsi="宋体"/>
        </w:rPr>
      </w:pPr>
      <w:r>
        <w:rPr>
          <w:rFonts w:ascii="宋体" w:hAnsi="宋体"/>
        </w:rPr>
        <w:t>坚持勤施、薄施，以氮肥为主，配合施用磷、钾肥。1～3年生幼树单株</w:t>
      </w:r>
      <w:r>
        <w:rPr>
          <w:rFonts w:hint="eastAsia" w:ascii="宋体" w:hAnsi="宋体"/>
        </w:rPr>
        <w:t>全</w:t>
      </w:r>
      <w:r>
        <w:rPr>
          <w:rFonts w:ascii="宋体" w:hAnsi="宋体"/>
        </w:rPr>
        <w:t>年施</w:t>
      </w:r>
      <w:r>
        <w:rPr>
          <w:rFonts w:hint="eastAsia" w:ascii="宋体" w:hAnsi="宋体"/>
        </w:rPr>
        <w:t>尿素0.2kg</w:t>
      </w:r>
      <w:r>
        <w:rPr>
          <w:rFonts w:ascii="宋体" w:hAnsi="宋体"/>
        </w:rPr>
        <w:t>～</w:t>
      </w:r>
      <w:r>
        <w:rPr>
          <w:rFonts w:hint="eastAsia" w:ascii="宋体" w:hAnsi="宋体"/>
        </w:rPr>
        <w:t>0.4kg、磷酸一铵0.1kg</w:t>
      </w:r>
      <w:r>
        <w:rPr>
          <w:rFonts w:ascii="宋体" w:hAnsi="宋体"/>
        </w:rPr>
        <w:t>～</w:t>
      </w:r>
      <w:r>
        <w:rPr>
          <w:rFonts w:hint="eastAsia" w:ascii="宋体" w:hAnsi="宋体"/>
        </w:rPr>
        <w:t>0.2kg、硫酸钾0.12kg</w:t>
      </w:r>
      <w:r>
        <w:rPr>
          <w:rFonts w:ascii="宋体" w:hAnsi="宋体"/>
        </w:rPr>
        <w:t>～</w:t>
      </w:r>
      <w:r>
        <w:rPr>
          <w:rFonts w:hint="eastAsia" w:ascii="宋体" w:hAnsi="宋体"/>
        </w:rPr>
        <w:t>0.24kg，在全年各次施肥</w:t>
      </w:r>
      <w:r>
        <w:rPr>
          <w:rFonts w:hint="eastAsia"/>
        </w:rPr>
        <w:t>期平均施入，其中，</w:t>
      </w:r>
      <w:r>
        <w:rPr>
          <w:rFonts w:ascii="宋体" w:hAnsi="宋体"/>
        </w:rPr>
        <w:t>1～</w:t>
      </w:r>
      <w:r>
        <w:rPr>
          <w:rFonts w:hint="eastAsia" w:ascii="宋体" w:hAnsi="宋体"/>
        </w:rPr>
        <w:t>2</w:t>
      </w:r>
      <w:r>
        <w:rPr>
          <w:rFonts w:ascii="宋体" w:hAnsi="宋体"/>
        </w:rPr>
        <w:t>年生幼树</w:t>
      </w:r>
      <w:r>
        <w:rPr>
          <w:rFonts w:hint="eastAsia" w:ascii="宋体" w:hAnsi="宋体"/>
        </w:rPr>
        <w:t>2</w:t>
      </w:r>
      <w:r>
        <w:rPr>
          <w:rFonts w:ascii="宋体" w:hAnsi="宋体"/>
        </w:rPr>
        <w:t>～</w:t>
      </w:r>
      <w:r>
        <w:rPr>
          <w:rFonts w:hint="eastAsia" w:ascii="宋体" w:hAnsi="宋体"/>
        </w:rPr>
        <w:t>10</w:t>
      </w:r>
      <w:r>
        <w:rPr>
          <w:rFonts w:ascii="宋体" w:hAnsi="宋体"/>
        </w:rPr>
        <w:t>月每月施肥1～2次</w:t>
      </w:r>
      <w:r>
        <w:rPr>
          <w:rFonts w:hint="eastAsia" w:ascii="宋体" w:hAnsi="宋体"/>
        </w:rPr>
        <w:t>，每</w:t>
      </w:r>
      <w:r>
        <w:rPr>
          <w:rFonts w:ascii="宋体" w:hAnsi="宋体"/>
        </w:rPr>
        <w:t>株</w:t>
      </w:r>
      <w:r>
        <w:rPr>
          <w:rFonts w:hint="eastAsia" w:ascii="宋体" w:hAnsi="宋体"/>
        </w:rPr>
        <w:t>施</w:t>
      </w:r>
      <w:r>
        <w:rPr>
          <w:rFonts w:ascii="宋体" w:hAnsi="宋体"/>
        </w:rPr>
        <w:t>20％浓度的腐熟人畜粪5</w:t>
      </w:r>
      <w:r>
        <w:rPr>
          <w:rFonts w:hint="eastAsia" w:ascii="宋体" w:hAnsi="宋体"/>
        </w:rPr>
        <w:t>kg</w:t>
      </w:r>
      <w:r>
        <w:rPr>
          <w:rFonts w:ascii="宋体" w:hAnsi="宋体"/>
        </w:rPr>
        <w:t>～10kg</w:t>
      </w:r>
      <w:r>
        <w:rPr>
          <w:rFonts w:hint="eastAsia" w:ascii="宋体" w:hAnsi="宋体"/>
        </w:rPr>
        <w:t>，加上氮、磷、钾化肥；3</w:t>
      </w:r>
      <w:r>
        <w:rPr>
          <w:rFonts w:ascii="宋体" w:hAnsi="宋体"/>
        </w:rPr>
        <w:t>年生树年施肥4～5次，在</w:t>
      </w:r>
      <w:r>
        <w:rPr>
          <w:rFonts w:hint="eastAsia" w:ascii="宋体" w:hAnsi="宋体"/>
        </w:rPr>
        <w:t>2</w:t>
      </w:r>
      <w:r>
        <w:rPr>
          <w:rFonts w:ascii="宋体" w:hAnsi="宋体"/>
        </w:rPr>
        <w:t>月、5月、7月、9月</w:t>
      </w:r>
      <w:r>
        <w:rPr>
          <w:rFonts w:hint="eastAsia" w:ascii="宋体" w:hAnsi="宋体"/>
        </w:rPr>
        <w:t>或</w:t>
      </w:r>
      <w:r>
        <w:rPr>
          <w:rFonts w:ascii="宋体" w:hAnsi="宋体"/>
        </w:rPr>
        <w:t>1</w:t>
      </w:r>
      <w:r>
        <w:rPr>
          <w:rFonts w:hint="eastAsia" w:ascii="宋体" w:hAnsi="宋体"/>
        </w:rPr>
        <w:t>0</w:t>
      </w:r>
      <w:r>
        <w:rPr>
          <w:rFonts w:ascii="宋体" w:hAnsi="宋体"/>
        </w:rPr>
        <w:t>月施用</w:t>
      </w:r>
      <w:r>
        <w:rPr>
          <w:rFonts w:hint="eastAsia" w:ascii="宋体" w:hAnsi="宋体"/>
        </w:rPr>
        <w:t>，每</w:t>
      </w:r>
      <w:r>
        <w:rPr>
          <w:rFonts w:ascii="宋体" w:hAnsi="宋体"/>
        </w:rPr>
        <w:t>株</w:t>
      </w:r>
      <w:r>
        <w:rPr>
          <w:rFonts w:hint="eastAsia" w:ascii="宋体" w:hAnsi="宋体"/>
        </w:rPr>
        <w:t>施</w:t>
      </w:r>
      <w:r>
        <w:rPr>
          <w:rFonts w:ascii="宋体" w:hAnsi="宋体"/>
        </w:rPr>
        <w:t>50</w:t>
      </w:r>
      <w:r>
        <w:rPr>
          <w:rFonts w:hint="eastAsia" w:ascii="宋体" w:hAnsi="宋体"/>
        </w:rPr>
        <w:t>%</w:t>
      </w:r>
      <w:r>
        <w:rPr>
          <w:rFonts w:ascii="宋体" w:hAnsi="宋体"/>
        </w:rPr>
        <w:t>～70</w:t>
      </w:r>
      <w:r>
        <w:rPr>
          <w:rFonts w:hint="eastAsia" w:ascii="宋体" w:hAnsi="宋体"/>
        </w:rPr>
        <w:t>%</w:t>
      </w:r>
      <w:r>
        <w:rPr>
          <w:rFonts w:ascii="宋体" w:hAnsi="宋体"/>
        </w:rPr>
        <w:t>浓度的腐熟人畜粪5</w:t>
      </w:r>
      <w:r>
        <w:rPr>
          <w:rFonts w:hint="eastAsia" w:ascii="宋体" w:hAnsi="宋体"/>
        </w:rPr>
        <w:t>kg</w:t>
      </w:r>
      <w:r>
        <w:rPr>
          <w:rFonts w:ascii="宋体" w:hAnsi="宋体"/>
        </w:rPr>
        <w:t>～10kg</w:t>
      </w:r>
      <w:r>
        <w:rPr>
          <w:rFonts w:hint="eastAsia" w:ascii="宋体" w:hAnsi="宋体"/>
        </w:rPr>
        <w:t>，加上氮、磷、钾化肥</w:t>
      </w:r>
      <w:r>
        <w:rPr>
          <w:rFonts w:ascii="宋体" w:hAnsi="宋体"/>
        </w:rPr>
        <w:t>。随树龄增大，施肥量逐渐增加。投产前一年，控施氮肥，增施磷钾肥。</w:t>
      </w:r>
    </w:p>
    <w:p w14:paraId="6C346771">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2</w:t>
      </w:r>
      <w:r>
        <w:rPr>
          <w:rFonts w:ascii="黑体" w:hAnsi="黑体" w:eastAsia="黑体"/>
        </w:rPr>
        <w:t>.</w:t>
      </w:r>
      <w:r>
        <w:rPr>
          <w:rFonts w:hint="eastAsia" w:ascii="黑体" w:hAnsi="黑体" w:eastAsia="黑体"/>
        </w:rPr>
        <w:t xml:space="preserve">4 </w:t>
      </w:r>
      <w:r>
        <w:rPr>
          <w:rFonts w:ascii="黑体" w:hAnsi="黑体" w:eastAsia="黑体"/>
        </w:rPr>
        <w:t>成年树施肥</w:t>
      </w:r>
    </w:p>
    <w:p w14:paraId="11DB188D">
      <w:pPr>
        <w:pStyle w:val="30"/>
        <w:numPr>
          <w:ilvl w:val="0"/>
          <w:numId w:val="0"/>
        </w:numPr>
        <w:spacing w:beforeLines="0" w:afterLines="0" w:line="360" w:lineRule="auto"/>
        <w:ind w:firstLine="420" w:firstLineChars="200"/>
        <w:rPr>
          <w:rFonts w:ascii="宋体" w:hAnsi="宋体" w:eastAsia="宋体"/>
          <w:kern w:val="2"/>
        </w:rPr>
      </w:pPr>
      <w:r>
        <w:rPr>
          <w:rFonts w:ascii="宋体" w:hAnsi="宋体" w:eastAsia="宋体"/>
          <w:kern w:val="2"/>
        </w:rPr>
        <w:t>一般亩产3000kg以上</w:t>
      </w:r>
      <w:r>
        <w:rPr>
          <w:rFonts w:hint="eastAsia" w:ascii="宋体" w:hAnsi="宋体" w:eastAsia="宋体"/>
          <w:kern w:val="2"/>
        </w:rPr>
        <w:t>的果园，每年每亩施</w:t>
      </w:r>
      <w:r>
        <w:rPr>
          <w:rFonts w:ascii="宋体" w:hAnsi="宋体" w:eastAsia="宋体"/>
          <w:kern w:val="2"/>
        </w:rPr>
        <w:t>腐熟有机肥</w:t>
      </w:r>
      <w:r>
        <w:rPr>
          <w:rFonts w:hint="eastAsia" w:ascii="宋体" w:hAnsi="宋体" w:eastAsia="宋体"/>
          <w:kern w:val="2"/>
        </w:rPr>
        <w:t>2</w:t>
      </w:r>
      <w:r>
        <w:rPr>
          <w:rFonts w:ascii="宋体" w:hAnsi="宋体" w:eastAsia="宋体"/>
          <w:kern w:val="2"/>
        </w:rPr>
        <w:t>000</w:t>
      </w:r>
      <w:r>
        <w:rPr>
          <w:rFonts w:hint="eastAsia" w:ascii="宋体" w:hAnsi="宋体" w:eastAsia="宋体"/>
          <w:kern w:val="2"/>
        </w:rPr>
        <w:t>kg</w:t>
      </w:r>
      <w:r>
        <w:rPr>
          <w:rFonts w:ascii="宋体" w:hAnsi="宋体" w:eastAsia="宋体"/>
          <w:kern w:val="2"/>
        </w:rPr>
        <w:t>～</w:t>
      </w:r>
      <w:r>
        <w:rPr>
          <w:rFonts w:hint="eastAsia" w:ascii="宋体" w:hAnsi="宋体" w:eastAsia="宋体"/>
          <w:kern w:val="2"/>
        </w:rPr>
        <w:t>4</w:t>
      </w:r>
      <w:r>
        <w:rPr>
          <w:rFonts w:ascii="宋体" w:hAnsi="宋体" w:eastAsia="宋体"/>
          <w:kern w:val="2"/>
        </w:rPr>
        <w:t>000kg</w:t>
      </w:r>
      <w:r>
        <w:rPr>
          <w:rFonts w:hint="eastAsia" w:ascii="宋体" w:hAnsi="宋体" w:eastAsia="宋体"/>
          <w:kern w:val="2"/>
        </w:rPr>
        <w:t>、尿素54kg</w:t>
      </w:r>
      <w:r>
        <w:rPr>
          <w:rFonts w:ascii="宋体" w:hAnsi="宋体" w:eastAsia="宋体"/>
          <w:kern w:val="2"/>
        </w:rPr>
        <w:t>～</w:t>
      </w:r>
      <w:r>
        <w:rPr>
          <w:rFonts w:hint="eastAsia" w:ascii="宋体" w:hAnsi="宋体" w:eastAsia="宋体"/>
          <w:kern w:val="2"/>
        </w:rPr>
        <w:t>76kg、磷酸一铵18kg</w:t>
      </w:r>
      <w:r>
        <w:rPr>
          <w:rFonts w:ascii="宋体" w:hAnsi="宋体" w:eastAsia="宋体"/>
          <w:kern w:val="2"/>
        </w:rPr>
        <w:t>～</w:t>
      </w:r>
      <w:r>
        <w:rPr>
          <w:rFonts w:hint="eastAsia" w:ascii="宋体" w:hAnsi="宋体" w:eastAsia="宋体"/>
          <w:kern w:val="2"/>
        </w:rPr>
        <w:t>27kg、硫酸钾40kg</w:t>
      </w:r>
      <w:r>
        <w:rPr>
          <w:rFonts w:ascii="宋体" w:hAnsi="宋体" w:eastAsia="宋体"/>
          <w:kern w:val="2"/>
        </w:rPr>
        <w:t>～</w:t>
      </w:r>
      <w:r>
        <w:rPr>
          <w:rFonts w:hint="eastAsia" w:ascii="宋体" w:hAnsi="宋体" w:eastAsia="宋体"/>
          <w:kern w:val="2"/>
        </w:rPr>
        <w:t>60kg。全年分3次施入，其中，</w:t>
      </w:r>
      <w:r>
        <w:rPr>
          <w:rFonts w:ascii="宋体" w:hAnsi="宋体" w:eastAsia="宋体"/>
          <w:kern w:val="2"/>
        </w:rPr>
        <w:t>2～3月上旬萌芽（花前）肥，每</w:t>
      </w:r>
      <w:r>
        <w:rPr>
          <w:rFonts w:hint="eastAsia" w:ascii="宋体" w:hAnsi="宋体" w:eastAsia="宋体"/>
          <w:kern w:val="2"/>
        </w:rPr>
        <w:t>亩施尿素22kg</w:t>
      </w:r>
      <w:r>
        <w:rPr>
          <w:rFonts w:ascii="宋体" w:hAnsi="宋体" w:eastAsia="宋体"/>
          <w:kern w:val="2"/>
        </w:rPr>
        <w:t>～</w:t>
      </w:r>
      <w:r>
        <w:rPr>
          <w:rFonts w:hint="eastAsia" w:ascii="宋体" w:hAnsi="宋体" w:eastAsia="宋体"/>
          <w:kern w:val="2"/>
        </w:rPr>
        <w:t>30kg、磷酸一铵4kg</w:t>
      </w:r>
      <w:r>
        <w:rPr>
          <w:rFonts w:ascii="宋体" w:hAnsi="宋体" w:eastAsia="宋体"/>
          <w:kern w:val="2"/>
        </w:rPr>
        <w:t>～</w:t>
      </w:r>
      <w:r>
        <w:rPr>
          <w:rFonts w:hint="eastAsia" w:ascii="宋体" w:hAnsi="宋体" w:eastAsia="宋体"/>
          <w:kern w:val="2"/>
        </w:rPr>
        <w:t>5kg、硫酸钾12kg</w:t>
      </w:r>
      <w:r>
        <w:rPr>
          <w:rFonts w:ascii="宋体" w:hAnsi="宋体" w:eastAsia="宋体"/>
          <w:kern w:val="2"/>
        </w:rPr>
        <w:t>～</w:t>
      </w:r>
      <w:r>
        <w:rPr>
          <w:rFonts w:hint="eastAsia" w:ascii="宋体" w:hAnsi="宋体" w:eastAsia="宋体"/>
          <w:kern w:val="2"/>
        </w:rPr>
        <w:t>18kg</w:t>
      </w:r>
      <w:r>
        <w:rPr>
          <w:rFonts w:ascii="宋体" w:hAnsi="宋体" w:eastAsia="宋体"/>
          <w:kern w:val="2"/>
        </w:rPr>
        <w:t>；6～7月中下旬稳（壮）果肥，每</w:t>
      </w:r>
      <w:r>
        <w:rPr>
          <w:rFonts w:hint="eastAsia" w:ascii="宋体" w:hAnsi="宋体" w:eastAsia="宋体"/>
          <w:kern w:val="2"/>
        </w:rPr>
        <w:t>亩施尿素16kg</w:t>
      </w:r>
      <w:r>
        <w:rPr>
          <w:rFonts w:ascii="宋体" w:hAnsi="宋体" w:eastAsia="宋体"/>
          <w:kern w:val="2"/>
        </w:rPr>
        <w:t>～</w:t>
      </w:r>
      <w:r>
        <w:rPr>
          <w:rFonts w:hint="eastAsia" w:ascii="宋体" w:hAnsi="宋体" w:eastAsia="宋体"/>
          <w:kern w:val="2"/>
        </w:rPr>
        <w:t>23kg、磷酸一铵6kg</w:t>
      </w:r>
      <w:r>
        <w:rPr>
          <w:rFonts w:ascii="宋体" w:hAnsi="宋体" w:eastAsia="宋体"/>
          <w:kern w:val="2"/>
        </w:rPr>
        <w:t>～</w:t>
      </w:r>
      <w:r>
        <w:rPr>
          <w:rFonts w:hint="eastAsia" w:ascii="宋体" w:hAnsi="宋体" w:eastAsia="宋体"/>
          <w:kern w:val="2"/>
        </w:rPr>
        <w:t>10kg、硫酸钾18kg</w:t>
      </w:r>
      <w:r>
        <w:rPr>
          <w:rFonts w:ascii="宋体" w:hAnsi="宋体" w:eastAsia="宋体"/>
          <w:kern w:val="2"/>
        </w:rPr>
        <w:t>～</w:t>
      </w:r>
      <w:r>
        <w:rPr>
          <w:rFonts w:hint="eastAsia" w:ascii="宋体" w:hAnsi="宋体" w:eastAsia="宋体"/>
          <w:kern w:val="2"/>
        </w:rPr>
        <w:t>27kg</w:t>
      </w:r>
      <w:r>
        <w:rPr>
          <w:rFonts w:ascii="宋体" w:hAnsi="宋体" w:eastAsia="宋体"/>
          <w:kern w:val="2"/>
        </w:rPr>
        <w:t>；10～11月上旬采果肥(基肥)，每</w:t>
      </w:r>
      <w:r>
        <w:rPr>
          <w:rFonts w:hint="eastAsia" w:ascii="宋体" w:hAnsi="宋体" w:eastAsia="宋体"/>
          <w:kern w:val="2"/>
        </w:rPr>
        <w:t>亩施尿素16kg</w:t>
      </w:r>
      <w:r>
        <w:rPr>
          <w:rFonts w:ascii="宋体" w:hAnsi="宋体" w:eastAsia="宋体"/>
          <w:kern w:val="2"/>
        </w:rPr>
        <w:t>～</w:t>
      </w:r>
      <w:r>
        <w:rPr>
          <w:rFonts w:hint="eastAsia" w:ascii="宋体" w:hAnsi="宋体" w:eastAsia="宋体"/>
          <w:kern w:val="2"/>
        </w:rPr>
        <w:t>23kg、磷酸一铵8kg</w:t>
      </w:r>
      <w:r>
        <w:rPr>
          <w:rFonts w:ascii="宋体" w:hAnsi="宋体" w:eastAsia="宋体"/>
          <w:kern w:val="2"/>
        </w:rPr>
        <w:t>～</w:t>
      </w:r>
      <w:r>
        <w:rPr>
          <w:rFonts w:hint="eastAsia" w:ascii="宋体" w:hAnsi="宋体" w:eastAsia="宋体"/>
          <w:kern w:val="2"/>
        </w:rPr>
        <w:t>12kg、硫酸钾10kg</w:t>
      </w:r>
      <w:r>
        <w:rPr>
          <w:rFonts w:ascii="宋体" w:hAnsi="宋体" w:eastAsia="宋体"/>
          <w:kern w:val="2"/>
        </w:rPr>
        <w:t>～</w:t>
      </w:r>
      <w:r>
        <w:rPr>
          <w:rFonts w:hint="eastAsia" w:ascii="宋体" w:hAnsi="宋体" w:eastAsia="宋体"/>
          <w:kern w:val="2"/>
        </w:rPr>
        <w:t>15kg。</w:t>
      </w:r>
    </w:p>
    <w:p w14:paraId="639C5794">
      <w:pPr>
        <w:pStyle w:val="30"/>
        <w:numPr>
          <w:ilvl w:val="0"/>
          <w:numId w:val="0"/>
        </w:numPr>
        <w:spacing w:beforeLines="0" w:afterLines="0" w:line="360" w:lineRule="auto"/>
        <w:ind w:firstLine="420" w:firstLineChars="200"/>
        <w:rPr>
          <w:rFonts w:ascii="宋体" w:hAnsi="宋体" w:eastAsia="宋体"/>
          <w:kern w:val="2"/>
        </w:rPr>
      </w:pPr>
      <w:r>
        <w:rPr>
          <w:rFonts w:ascii="宋体" w:hAnsi="宋体" w:eastAsia="宋体"/>
          <w:kern w:val="2"/>
        </w:rPr>
        <w:t>亩产1500</w:t>
      </w:r>
      <w:r>
        <w:rPr>
          <w:rFonts w:hint="eastAsia" w:ascii="宋体" w:hAnsi="宋体" w:eastAsia="宋体"/>
          <w:kern w:val="2"/>
        </w:rPr>
        <w:t>kg</w:t>
      </w:r>
      <w:r>
        <w:rPr>
          <w:rFonts w:ascii="宋体" w:hAnsi="宋体" w:eastAsia="宋体"/>
          <w:kern w:val="2"/>
        </w:rPr>
        <w:t>～3000kg的果园，</w:t>
      </w:r>
      <w:r>
        <w:rPr>
          <w:rFonts w:hint="eastAsia" w:ascii="宋体" w:hAnsi="宋体" w:eastAsia="宋体"/>
          <w:kern w:val="2"/>
        </w:rPr>
        <w:t>每年</w:t>
      </w:r>
      <w:r>
        <w:rPr>
          <w:rFonts w:ascii="宋体" w:hAnsi="宋体" w:eastAsia="宋体"/>
          <w:kern w:val="2"/>
        </w:rPr>
        <w:t>每</w:t>
      </w:r>
      <w:r>
        <w:rPr>
          <w:rFonts w:hint="eastAsia" w:ascii="宋体" w:hAnsi="宋体" w:eastAsia="宋体"/>
          <w:kern w:val="2"/>
        </w:rPr>
        <w:t>亩</w:t>
      </w:r>
      <w:r>
        <w:rPr>
          <w:rFonts w:ascii="宋体" w:hAnsi="宋体" w:eastAsia="宋体"/>
          <w:kern w:val="2"/>
        </w:rPr>
        <w:t>施腐熟有机肥</w:t>
      </w:r>
      <w:r>
        <w:rPr>
          <w:rFonts w:hint="eastAsia" w:ascii="宋体" w:hAnsi="宋体" w:eastAsia="宋体"/>
          <w:kern w:val="2"/>
        </w:rPr>
        <w:t>2</w:t>
      </w:r>
      <w:r>
        <w:rPr>
          <w:rFonts w:ascii="宋体" w:hAnsi="宋体" w:eastAsia="宋体"/>
          <w:kern w:val="2"/>
        </w:rPr>
        <w:t>000</w:t>
      </w:r>
      <w:r>
        <w:rPr>
          <w:rFonts w:hint="eastAsia" w:ascii="宋体" w:hAnsi="宋体" w:eastAsia="宋体"/>
          <w:kern w:val="2"/>
        </w:rPr>
        <w:t>kg</w:t>
      </w:r>
      <w:r>
        <w:rPr>
          <w:rFonts w:ascii="宋体" w:hAnsi="宋体" w:eastAsia="宋体"/>
          <w:kern w:val="2"/>
        </w:rPr>
        <w:t>～</w:t>
      </w:r>
      <w:r>
        <w:rPr>
          <w:rFonts w:hint="eastAsia" w:ascii="宋体" w:hAnsi="宋体" w:eastAsia="宋体"/>
          <w:kern w:val="2"/>
        </w:rPr>
        <w:t>4</w:t>
      </w:r>
      <w:r>
        <w:rPr>
          <w:rFonts w:ascii="宋体" w:hAnsi="宋体" w:eastAsia="宋体"/>
          <w:kern w:val="2"/>
        </w:rPr>
        <w:t>000kg</w:t>
      </w:r>
      <w:r>
        <w:rPr>
          <w:rFonts w:hint="eastAsia" w:ascii="宋体" w:hAnsi="宋体" w:eastAsia="宋体"/>
          <w:kern w:val="2"/>
        </w:rPr>
        <w:t>、尿素43kg</w:t>
      </w:r>
      <w:r>
        <w:rPr>
          <w:rFonts w:ascii="宋体" w:hAnsi="宋体" w:eastAsia="宋体"/>
          <w:kern w:val="2"/>
        </w:rPr>
        <w:t>～</w:t>
      </w:r>
      <w:r>
        <w:rPr>
          <w:rFonts w:hint="eastAsia" w:ascii="宋体" w:hAnsi="宋体" w:eastAsia="宋体"/>
          <w:kern w:val="2"/>
        </w:rPr>
        <w:t>65kg、磷酸一铵18kg</w:t>
      </w:r>
      <w:r>
        <w:rPr>
          <w:rFonts w:ascii="宋体" w:hAnsi="宋体" w:eastAsia="宋体"/>
          <w:kern w:val="2"/>
        </w:rPr>
        <w:t>～</w:t>
      </w:r>
      <w:r>
        <w:rPr>
          <w:rFonts w:hint="eastAsia" w:ascii="宋体" w:hAnsi="宋体" w:eastAsia="宋体"/>
          <w:kern w:val="2"/>
        </w:rPr>
        <w:t>23kg、硫酸钾30kg</w:t>
      </w:r>
      <w:r>
        <w:rPr>
          <w:rFonts w:ascii="宋体" w:hAnsi="宋体" w:eastAsia="宋体"/>
          <w:kern w:val="2"/>
        </w:rPr>
        <w:t>～</w:t>
      </w:r>
      <w:r>
        <w:rPr>
          <w:rFonts w:hint="eastAsia" w:ascii="宋体" w:hAnsi="宋体" w:eastAsia="宋体"/>
          <w:kern w:val="2"/>
        </w:rPr>
        <w:t>50kg。全年分3次施入，其中，</w:t>
      </w:r>
      <w:r>
        <w:rPr>
          <w:rFonts w:ascii="宋体" w:hAnsi="宋体" w:eastAsia="宋体"/>
          <w:kern w:val="2"/>
        </w:rPr>
        <w:t>2～3月上旬萌芽（花前）肥，每</w:t>
      </w:r>
      <w:r>
        <w:rPr>
          <w:rFonts w:hint="eastAsia" w:ascii="宋体" w:hAnsi="宋体" w:eastAsia="宋体"/>
          <w:kern w:val="2"/>
        </w:rPr>
        <w:t>亩施尿素17kg</w:t>
      </w:r>
      <w:r>
        <w:rPr>
          <w:rFonts w:ascii="宋体" w:hAnsi="宋体" w:eastAsia="宋体"/>
          <w:kern w:val="2"/>
        </w:rPr>
        <w:t>～</w:t>
      </w:r>
      <w:r>
        <w:rPr>
          <w:rFonts w:hint="eastAsia" w:ascii="宋体" w:hAnsi="宋体" w:eastAsia="宋体"/>
          <w:kern w:val="2"/>
        </w:rPr>
        <w:t>26kg、磷酸一铵4kg</w:t>
      </w:r>
      <w:r>
        <w:rPr>
          <w:rFonts w:ascii="宋体" w:hAnsi="宋体" w:eastAsia="宋体"/>
          <w:kern w:val="2"/>
        </w:rPr>
        <w:t>～</w:t>
      </w:r>
      <w:r>
        <w:rPr>
          <w:rFonts w:hint="eastAsia" w:ascii="宋体" w:hAnsi="宋体" w:eastAsia="宋体"/>
          <w:kern w:val="2"/>
        </w:rPr>
        <w:t>5kg、硫酸钾9kg</w:t>
      </w:r>
      <w:r>
        <w:rPr>
          <w:rFonts w:ascii="宋体" w:hAnsi="宋体" w:eastAsia="宋体"/>
          <w:kern w:val="2"/>
        </w:rPr>
        <w:t>～</w:t>
      </w:r>
      <w:r>
        <w:rPr>
          <w:rFonts w:hint="eastAsia" w:ascii="宋体" w:hAnsi="宋体" w:eastAsia="宋体"/>
          <w:kern w:val="2"/>
        </w:rPr>
        <w:t>15kg</w:t>
      </w:r>
      <w:r>
        <w:rPr>
          <w:rFonts w:ascii="宋体" w:hAnsi="宋体" w:eastAsia="宋体"/>
          <w:kern w:val="2"/>
        </w:rPr>
        <w:t>；6</w:t>
      </w:r>
      <w:r>
        <w:rPr>
          <w:rFonts w:hint="eastAsia" w:ascii="宋体" w:hAnsi="宋体" w:eastAsia="宋体"/>
          <w:kern w:val="2"/>
        </w:rPr>
        <w:t>月</w:t>
      </w:r>
      <w:r>
        <w:rPr>
          <w:rFonts w:ascii="宋体" w:hAnsi="宋体" w:eastAsia="宋体"/>
          <w:kern w:val="2"/>
        </w:rPr>
        <w:t>～7月中下旬稳（壮）果肥，每</w:t>
      </w:r>
      <w:r>
        <w:rPr>
          <w:rFonts w:hint="eastAsia" w:ascii="宋体" w:hAnsi="宋体" w:eastAsia="宋体"/>
          <w:kern w:val="2"/>
        </w:rPr>
        <w:t>亩施尿素13</w:t>
      </w:r>
      <w:r>
        <w:rPr>
          <w:rFonts w:ascii="宋体" w:hAnsi="宋体" w:eastAsia="宋体"/>
          <w:kern w:val="2"/>
        </w:rPr>
        <w:t>～</w:t>
      </w:r>
      <w:r>
        <w:rPr>
          <w:rFonts w:hint="eastAsia" w:ascii="宋体" w:hAnsi="宋体" w:eastAsia="宋体"/>
          <w:kern w:val="2"/>
        </w:rPr>
        <w:t>20kg、磷酸一铵6</w:t>
      </w:r>
      <w:r>
        <w:rPr>
          <w:rFonts w:ascii="宋体" w:hAnsi="宋体" w:eastAsia="宋体"/>
          <w:kern w:val="2"/>
        </w:rPr>
        <w:t>～</w:t>
      </w:r>
      <w:r>
        <w:rPr>
          <w:rFonts w:hint="eastAsia" w:ascii="宋体" w:hAnsi="宋体" w:eastAsia="宋体"/>
          <w:kern w:val="2"/>
        </w:rPr>
        <w:t>8kg、硫酸钾14</w:t>
      </w:r>
      <w:r>
        <w:rPr>
          <w:rFonts w:ascii="宋体" w:hAnsi="宋体" w:eastAsia="宋体"/>
          <w:kern w:val="2"/>
        </w:rPr>
        <w:t>～</w:t>
      </w:r>
      <w:r>
        <w:rPr>
          <w:rFonts w:hint="eastAsia" w:ascii="宋体" w:hAnsi="宋体" w:eastAsia="宋体"/>
          <w:kern w:val="2"/>
        </w:rPr>
        <w:t>23kg</w:t>
      </w:r>
      <w:r>
        <w:rPr>
          <w:rFonts w:ascii="宋体" w:hAnsi="宋体" w:eastAsia="宋体"/>
          <w:kern w:val="2"/>
        </w:rPr>
        <w:t>；10月～11月上旬采果肥(基肥)，每</w:t>
      </w:r>
      <w:r>
        <w:rPr>
          <w:rFonts w:hint="eastAsia" w:ascii="宋体" w:hAnsi="宋体" w:eastAsia="宋体"/>
          <w:kern w:val="2"/>
        </w:rPr>
        <w:t>亩施尿素13</w:t>
      </w:r>
      <w:r>
        <w:rPr>
          <w:rFonts w:ascii="宋体" w:hAnsi="宋体" w:eastAsia="宋体"/>
          <w:kern w:val="2"/>
        </w:rPr>
        <w:t>～</w:t>
      </w:r>
      <w:r>
        <w:rPr>
          <w:rFonts w:hint="eastAsia" w:ascii="宋体" w:hAnsi="宋体" w:eastAsia="宋体"/>
          <w:kern w:val="2"/>
        </w:rPr>
        <w:t>19kg、磷酸一铵8</w:t>
      </w:r>
      <w:r>
        <w:rPr>
          <w:rFonts w:ascii="宋体" w:hAnsi="宋体" w:eastAsia="宋体"/>
          <w:kern w:val="2"/>
        </w:rPr>
        <w:t>～</w:t>
      </w:r>
      <w:r>
        <w:rPr>
          <w:rFonts w:hint="eastAsia" w:ascii="宋体" w:hAnsi="宋体" w:eastAsia="宋体"/>
          <w:kern w:val="2"/>
        </w:rPr>
        <w:t>10kg、硫酸钾7kg</w:t>
      </w:r>
      <w:r>
        <w:rPr>
          <w:rFonts w:ascii="宋体" w:hAnsi="宋体" w:eastAsia="宋体"/>
          <w:kern w:val="2"/>
        </w:rPr>
        <w:t>～</w:t>
      </w:r>
      <w:r>
        <w:rPr>
          <w:rFonts w:hint="eastAsia" w:ascii="宋体" w:hAnsi="宋体" w:eastAsia="宋体"/>
          <w:kern w:val="2"/>
        </w:rPr>
        <w:t>12kg。</w:t>
      </w:r>
    </w:p>
    <w:p w14:paraId="0FB7EFF4">
      <w:pPr>
        <w:pStyle w:val="30"/>
        <w:numPr>
          <w:ilvl w:val="0"/>
          <w:numId w:val="0"/>
        </w:numPr>
        <w:spacing w:beforeLines="0" w:afterLines="0" w:line="360" w:lineRule="auto"/>
        <w:ind w:firstLine="420" w:firstLineChars="200"/>
        <w:rPr>
          <w:rFonts w:ascii="宋体" w:hAnsi="宋体" w:eastAsia="宋体"/>
          <w:kern w:val="2"/>
        </w:rPr>
      </w:pPr>
      <w:r>
        <w:rPr>
          <w:rFonts w:ascii="宋体" w:hAnsi="宋体" w:eastAsia="宋体"/>
          <w:kern w:val="2"/>
        </w:rPr>
        <w:t>亩产1500kg以下的果园，</w:t>
      </w:r>
      <w:r>
        <w:rPr>
          <w:rFonts w:hint="eastAsia" w:ascii="宋体" w:hAnsi="宋体" w:eastAsia="宋体"/>
          <w:kern w:val="2"/>
        </w:rPr>
        <w:t>每年</w:t>
      </w:r>
      <w:r>
        <w:rPr>
          <w:rFonts w:ascii="宋体" w:hAnsi="宋体" w:eastAsia="宋体"/>
          <w:kern w:val="2"/>
        </w:rPr>
        <w:t>每</w:t>
      </w:r>
      <w:r>
        <w:rPr>
          <w:rFonts w:hint="eastAsia" w:ascii="宋体" w:hAnsi="宋体" w:eastAsia="宋体"/>
          <w:kern w:val="2"/>
        </w:rPr>
        <w:t>亩</w:t>
      </w:r>
      <w:r>
        <w:rPr>
          <w:rFonts w:ascii="宋体" w:hAnsi="宋体" w:eastAsia="宋体"/>
          <w:kern w:val="2"/>
        </w:rPr>
        <w:t>施腐熟有机肥</w:t>
      </w:r>
      <w:r>
        <w:rPr>
          <w:rFonts w:hint="eastAsia" w:ascii="宋体" w:hAnsi="宋体" w:eastAsia="宋体"/>
          <w:kern w:val="2"/>
        </w:rPr>
        <w:t>2</w:t>
      </w:r>
      <w:r>
        <w:rPr>
          <w:rFonts w:ascii="宋体" w:hAnsi="宋体" w:eastAsia="宋体"/>
          <w:kern w:val="2"/>
        </w:rPr>
        <w:t>000</w:t>
      </w:r>
      <w:r>
        <w:rPr>
          <w:rFonts w:hint="eastAsia" w:ascii="宋体" w:hAnsi="宋体" w:eastAsia="宋体"/>
          <w:kern w:val="2"/>
        </w:rPr>
        <w:t>kg</w:t>
      </w:r>
      <w:r>
        <w:rPr>
          <w:rFonts w:ascii="宋体" w:hAnsi="宋体" w:eastAsia="宋体"/>
          <w:kern w:val="2"/>
        </w:rPr>
        <w:t>～</w:t>
      </w:r>
      <w:r>
        <w:rPr>
          <w:rFonts w:hint="eastAsia" w:ascii="宋体" w:hAnsi="宋体" w:eastAsia="宋体"/>
          <w:kern w:val="2"/>
        </w:rPr>
        <w:t>3</w:t>
      </w:r>
      <w:r>
        <w:rPr>
          <w:rFonts w:ascii="宋体" w:hAnsi="宋体" w:eastAsia="宋体"/>
          <w:kern w:val="2"/>
        </w:rPr>
        <w:t>000kg，</w:t>
      </w:r>
      <w:r>
        <w:rPr>
          <w:rFonts w:hint="eastAsia" w:ascii="宋体" w:hAnsi="宋体" w:eastAsia="宋体"/>
          <w:kern w:val="2"/>
        </w:rPr>
        <w:t>尿素33kg</w:t>
      </w:r>
      <w:r>
        <w:rPr>
          <w:rFonts w:ascii="宋体" w:hAnsi="宋体" w:eastAsia="宋体"/>
          <w:kern w:val="2"/>
        </w:rPr>
        <w:t>～</w:t>
      </w:r>
      <w:r>
        <w:rPr>
          <w:rFonts w:hint="eastAsia" w:ascii="宋体" w:hAnsi="宋体" w:eastAsia="宋体"/>
          <w:kern w:val="2"/>
        </w:rPr>
        <w:t>54kg，磷酸一铵14kg</w:t>
      </w:r>
      <w:r>
        <w:rPr>
          <w:rFonts w:ascii="宋体" w:hAnsi="宋体" w:eastAsia="宋体"/>
          <w:kern w:val="2"/>
        </w:rPr>
        <w:t>～</w:t>
      </w:r>
      <w:r>
        <w:rPr>
          <w:rFonts w:hint="eastAsia" w:ascii="宋体" w:hAnsi="宋体" w:eastAsia="宋体"/>
          <w:kern w:val="2"/>
        </w:rPr>
        <w:t>18kg，硫酸钾20kg</w:t>
      </w:r>
      <w:r>
        <w:rPr>
          <w:rFonts w:ascii="宋体" w:hAnsi="宋体" w:eastAsia="宋体"/>
          <w:kern w:val="2"/>
        </w:rPr>
        <w:t>～</w:t>
      </w:r>
      <w:r>
        <w:rPr>
          <w:rFonts w:hint="eastAsia" w:ascii="宋体" w:hAnsi="宋体" w:eastAsia="宋体"/>
          <w:kern w:val="2"/>
        </w:rPr>
        <w:t>40kg。全年分3次施入，其中，</w:t>
      </w:r>
      <w:r>
        <w:rPr>
          <w:rFonts w:ascii="宋体" w:hAnsi="宋体" w:eastAsia="宋体"/>
          <w:kern w:val="2"/>
        </w:rPr>
        <w:t>2～3月上旬萌芽（花前）肥，每</w:t>
      </w:r>
      <w:r>
        <w:rPr>
          <w:rFonts w:hint="eastAsia" w:ascii="宋体" w:hAnsi="宋体" w:eastAsia="宋体"/>
          <w:kern w:val="2"/>
        </w:rPr>
        <w:t>亩施尿素13kg</w:t>
      </w:r>
      <w:r>
        <w:rPr>
          <w:rFonts w:ascii="宋体" w:hAnsi="宋体" w:eastAsia="宋体"/>
          <w:kern w:val="2"/>
        </w:rPr>
        <w:t>～</w:t>
      </w:r>
      <w:r>
        <w:rPr>
          <w:rFonts w:hint="eastAsia" w:ascii="宋体" w:hAnsi="宋体" w:eastAsia="宋体"/>
          <w:kern w:val="2"/>
        </w:rPr>
        <w:t>22 kg，磷酸一铵3kg</w:t>
      </w:r>
      <w:r>
        <w:rPr>
          <w:rFonts w:ascii="宋体" w:hAnsi="宋体" w:eastAsia="宋体"/>
          <w:kern w:val="2"/>
        </w:rPr>
        <w:t>～</w:t>
      </w:r>
      <w:r>
        <w:rPr>
          <w:rFonts w:hint="eastAsia" w:ascii="宋体" w:hAnsi="宋体" w:eastAsia="宋体"/>
          <w:kern w:val="2"/>
        </w:rPr>
        <w:t>4kg，硫酸钾6kg</w:t>
      </w:r>
      <w:r>
        <w:rPr>
          <w:rFonts w:ascii="宋体" w:hAnsi="宋体" w:eastAsia="宋体"/>
          <w:kern w:val="2"/>
        </w:rPr>
        <w:t>～</w:t>
      </w:r>
      <w:r>
        <w:rPr>
          <w:rFonts w:hint="eastAsia" w:ascii="宋体" w:hAnsi="宋体" w:eastAsia="宋体"/>
          <w:kern w:val="2"/>
        </w:rPr>
        <w:t>12kg</w:t>
      </w:r>
      <w:r>
        <w:rPr>
          <w:rFonts w:ascii="宋体" w:hAnsi="宋体" w:eastAsia="宋体"/>
          <w:kern w:val="2"/>
        </w:rPr>
        <w:t>；6～7月中下旬稳（壮）果肥，每</w:t>
      </w:r>
      <w:r>
        <w:rPr>
          <w:rFonts w:hint="eastAsia" w:ascii="宋体" w:hAnsi="宋体" w:eastAsia="宋体"/>
          <w:kern w:val="2"/>
        </w:rPr>
        <w:t>亩施尿素10kg</w:t>
      </w:r>
      <w:r>
        <w:rPr>
          <w:rFonts w:ascii="宋体" w:hAnsi="宋体" w:eastAsia="宋体"/>
          <w:kern w:val="2"/>
        </w:rPr>
        <w:t>～</w:t>
      </w:r>
      <w:r>
        <w:rPr>
          <w:rFonts w:hint="eastAsia" w:ascii="宋体" w:hAnsi="宋体" w:eastAsia="宋体"/>
          <w:kern w:val="2"/>
        </w:rPr>
        <w:t>16kg，磷酸一铵5kg</w:t>
      </w:r>
      <w:r>
        <w:rPr>
          <w:rFonts w:ascii="宋体" w:hAnsi="宋体" w:eastAsia="宋体"/>
          <w:kern w:val="2"/>
        </w:rPr>
        <w:t>～</w:t>
      </w:r>
      <w:r>
        <w:rPr>
          <w:rFonts w:hint="eastAsia" w:ascii="宋体" w:hAnsi="宋体" w:eastAsia="宋体"/>
          <w:kern w:val="2"/>
        </w:rPr>
        <w:t>6kg，硫酸钾9kg</w:t>
      </w:r>
      <w:r>
        <w:rPr>
          <w:rFonts w:ascii="宋体" w:hAnsi="宋体" w:eastAsia="宋体"/>
          <w:kern w:val="2"/>
        </w:rPr>
        <w:t>～</w:t>
      </w:r>
      <w:r>
        <w:rPr>
          <w:rFonts w:hint="eastAsia" w:ascii="宋体" w:hAnsi="宋体" w:eastAsia="宋体"/>
          <w:kern w:val="2"/>
        </w:rPr>
        <w:t>18kg</w:t>
      </w:r>
      <w:r>
        <w:rPr>
          <w:rFonts w:ascii="宋体" w:hAnsi="宋体" w:eastAsia="宋体"/>
          <w:kern w:val="2"/>
        </w:rPr>
        <w:t>；10～11月上旬采果肥(基肥)，每</w:t>
      </w:r>
      <w:r>
        <w:rPr>
          <w:rFonts w:hint="eastAsia" w:ascii="宋体" w:hAnsi="宋体" w:eastAsia="宋体"/>
          <w:kern w:val="2"/>
        </w:rPr>
        <w:t>亩施尿素10kg</w:t>
      </w:r>
      <w:r>
        <w:rPr>
          <w:rFonts w:ascii="宋体" w:hAnsi="宋体" w:eastAsia="宋体"/>
          <w:kern w:val="2"/>
        </w:rPr>
        <w:t>～</w:t>
      </w:r>
      <w:r>
        <w:rPr>
          <w:rFonts w:hint="eastAsia" w:ascii="宋体" w:hAnsi="宋体" w:eastAsia="宋体"/>
          <w:kern w:val="2"/>
        </w:rPr>
        <w:t>16kg，磷酸一铵6kg</w:t>
      </w:r>
      <w:r>
        <w:rPr>
          <w:rFonts w:ascii="宋体" w:hAnsi="宋体" w:eastAsia="宋体"/>
          <w:kern w:val="2"/>
        </w:rPr>
        <w:t>～</w:t>
      </w:r>
      <w:r>
        <w:rPr>
          <w:rFonts w:hint="eastAsia" w:ascii="宋体" w:hAnsi="宋体" w:eastAsia="宋体"/>
          <w:kern w:val="2"/>
        </w:rPr>
        <w:t>8kg，硫酸钾5kg</w:t>
      </w:r>
      <w:r>
        <w:rPr>
          <w:rFonts w:ascii="宋体" w:hAnsi="宋体" w:eastAsia="宋体"/>
          <w:kern w:val="2"/>
        </w:rPr>
        <w:t>～</w:t>
      </w:r>
      <w:r>
        <w:rPr>
          <w:rFonts w:hint="eastAsia" w:ascii="宋体" w:hAnsi="宋体" w:eastAsia="宋体"/>
          <w:kern w:val="2"/>
        </w:rPr>
        <w:t>10kg。</w:t>
      </w:r>
    </w:p>
    <w:p w14:paraId="296C4DF5">
      <w:pPr>
        <w:pStyle w:val="28"/>
        <w:spacing w:line="360" w:lineRule="auto"/>
        <w:contextualSpacing/>
        <w:rPr>
          <w:rFonts w:ascii="宋体" w:hAnsi="宋体"/>
        </w:rPr>
      </w:pPr>
      <w:r>
        <w:rPr>
          <w:rFonts w:ascii="宋体" w:hAnsi="宋体"/>
        </w:rPr>
        <w:t>全部有机肥和硼、锌、铁等微量元素肥在</w:t>
      </w:r>
      <w:r>
        <w:rPr>
          <w:rFonts w:hint="eastAsia" w:ascii="宋体" w:hAnsi="宋体"/>
        </w:rPr>
        <w:t>秋或</w:t>
      </w:r>
      <w:r>
        <w:rPr>
          <w:rFonts w:ascii="宋体" w:hAnsi="宋体"/>
        </w:rPr>
        <w:t>冬</w:t>
      </w:r>
      <w:r>
        <w:rPr>
          <w:rFonts w:hint="eastAsia" w:ascii="宋体" w:hAnsi="宋体"/>
        </w:rPr>
        <w:t>季</w:t>
      </w:r>
      <w:r>
        <w:rPr>
          <w:rFonts w:ascii="宋体" w:hAnsi="宋体"/>
        </w:rPr>
        <w:t>施入。</w:t>
      </w:r>
    </w:p>
    <w:p w14:paraId="7DDE6453">
      <w:pPr>
        <w:pStyle w:val="28"/>
        <w:spacing w:line="360" w:lineRule="auto"/>
        <w:ind w:firstLine="0" w:firstLineChars="0"/>
        <w:contextualSpacing/>
        <w:rPr>
          <w:rFonts w:ascii="黑体" w:hAnsi="黑体" w:eastAsia="黑体"/>
        </w:rPr>
      </w:pPr>
      <w:r>
        <w:rPr>
          <w:rFonts w:hint="eastAsia" w:ascii="黑体" w:hAnsi="黑体" w:eastAsia="黑体"/>
        </w:rPr>
        <w:t>6</w:t>
      </w:r>
      <w:r>
        <w:rPr>
          <w:rFonts w:ascii="黑体" w:hAnsi="黑体" w:eastAsia="黑体"/>
        </w:rPr>
        <w:t>.</w:t>
      </w:r>
      <w:r>
        <w:rPr>
          <w:rFonts w:hint="eastAsia" w:ascii="黑体" w:hAnsi="黑体" w:eastAsia="黑体"/>
        </w:rPr>
        <w:t>3水分管理</w:t>
      </w:r>
    </w:p>
    <w:p w14:paraId="4EFC6FD3">
      <w:pPr>
        <w:pStyle w:val="4"/>
        <w:adjustRightInd w:val="0"/>
        <w:snapToGrid w:val="0"/>
        <w:spacing w:before="50" w:after="50" w:line="400" w:lineRule="exact"/>
        <w:rPr>
          <w:rFonts w:ascii="黑体" w:hAnsi="黑体" w:eastAsia="黑体"/>
          <w:b w:val="0"/>
          <w:bCs/>
          <w:sz w:val="21"/>
          <w:szCs w:val="21"/>
        </w:rPr>
      </w:pPr>
      <w:r>
        <w:rPr>
          <w:rFonts w:hint="eastAsia" w:ascii="黑体" w:hAnsi="黑体" w:eastAsia="黑体"/>
          <w:b w:val="0"/>
          <w:bCs/>
          <w:sz w:val="21"/>
          <w:szCs w:val="21"/>
        </w:rPr>
        <w:t>6.3.1灌溉</w:t>
      </w:r>
    </w:p>
    <w:p w14:paraId="2B2E1873">
      <w:pPr>
        <w:pStyle w:val="28"/>
        <w:spacing w:line="360" w:lineRule="auto"/>
        <w:contextualSpacing/>
        <w:rPr>
          <w:rFonts w:ascii="宋体" w:hAnsi="宋体"/>
        </w:rPr>
      </w:pPr>
      <w:r>
        <w:rPr>
          <w:rFonts w:hint="eastAsia" w:ascii="宋体" w:hAnsi="宋体"/>
        </w:rPr>
        <w:t>春梢萌动及开花期（3～5月）和果实膨大期（7～10月）对水分敏感，根据甜橙植株对水分的需求和土壤水分状况适时适量灌溉，保持土壤湿度为田间最大持水量的60%～80%。灌溉方式可采取滴灌、树盘灌溉、沟灌、喷灌等。干旱地区及丘陵区可采用穴贮肥水灌溉。水质应符合</w:t>
      </w:r>
      <w:r>
        <w:rPr>
          <w:rFonts w:ascii="宋体" w:hAnsi="宋体"/>
        </w:rPr>
        <w:t xml:space="preserve">NY/T 391 </w:t>
      </w:r>
      <w:r>
        <w:rPr>
          <w:rFonts w:hint="eastAsia" w:ascii="宋体" w:hAnsi="宋体"/>
        </w:rPr>
        <w:t>的规定。</w:t>
      </w:r>
    </w:p>
    <w:p w14:paraId="0759DA9E">
      <w:pPr>
        <w:pStyle w:val="4"/>
        <w:adjustRightInd w:val="0"/>
        <w:snapToGrid w:val="0"/>
        <w:spacing w:before="50" w:after="50" w:line="400" w:lineRule="exact"/>
        <w:rPr>
          <w:rFonts w:ascii="黑体" w:hAnsi="黑体" w:eastAsia="黑体"/>
          <w:b w:val="0"/>
          <w:bCs/>
          <w:sz w:val="21"/>
          <w:szCs w:val="21"/>
        </w:rPr>
      </w:pPr>
      <w:r>
        <w:rPr>
          <w:rFonts w:hint="eastAsia" w:ascii="黑体" w:hAnsi="黑体" w:eastAsia="黑体"/>
          <w:b w:val="0"/>
          <w:bCs/>
          <w:sz w:val="21"/>
          <w:szCs w:val="21"/>
        </w:rPr>
        <w:t>6.3.2排水</w:t>
      </w:r>
    </w:p>
    <w:p w14:paraId="5A093863">
      <w:pPr>
        <w:pStyle w:val="28"/>
        <w:spacing w:line="360" w:lineRule="auto"/>
        <w:contextualSpacing/>
        <w:rPr>
          <w:rFonts w:ascii="宋体" w:hAnsi="宋体"/>
        </w:rPr>
      </w:pPr>
      <w:r>
        <w:rPr>
          <w:rFonts w:hint="eastAsia" w:ascii="宋体" w:hAnsi="宋体"/>
        </w:rPr>
        <w:t>设置排水系统并及时清淤，多雨季节或果园积水时通过沟渠及时排水。</w:t>
      </w:r>
    </w:p>
    <w:p w14:paraId="67A13AB1">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 xml:space="preserve">4 </w:t>
      </w:r>
      <w:r>
        <w:rPr>
          <w:rFonts w:ascii="黑体" w:hAnsi="黑体" w:eastAsia="黑体"/>
          <w:szCs w:val="21"/>
        </w:rPr>
        <w:t>整形修剪</w:t>
      </w:r>
    </w:p>
    <w:p w14:paraId="68C1433C">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.1整形</w:t>
      </w:r>
    </w:p>
    <w:p w14:paraId="15D4BEC2">
      <w:pPr>
        <w:pStyle w:val="28"/>
        <w:spacing w:line="360" w:lineRule="auto"/>
        <w:contextualSpacing/>
        <w:rPr>
          <w:rFonts w:ascii="宋体" w:hAnsi="宋体"/>
        </w:rPr>
      </w:pPr>
      <w:r>
        <w:rPr>
          <w:rFonts w:hint="eastAsia" w:ascii="宋体" w:hAnsi="宋体"/>
        </w:rPr>
        <w:t>主要树形为自然圆头形或凹凸形，通过整形培养树体的主干、主枝、侧枝和结果枝。主干高度为40cm～50cm，3～4个主枝，每个主枝配备2～3个副主枝,主枝、副主枝要相互错开均匀分布。副主枝上配备侧枝和多个枝组。选留主枝、副主枝的先端健壮枝为延长枝。</w:t>
      </w:r>
    </w:p>
    <w:p w14:paraId="4B1E8F84">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.2修剪</w:t>
      </w:r>
    </w:p>
    <w:p w14:paraId="66D0588C">
      <w:pPr>
        <w:pStyle w:val="28"/>
        <w:spacing w:line="360" w:lineRule="auto"/>
        <w:contextualSpacing/>
        <w:rPr>
          <w:rFonts w:ascii="宋体" w:hAnsi="宋体"/>
        </w:rPr>
      </w:pPr>
      <w:r>
        <w:rPr>
          <w:rFonts w:hint="eastAsia" w:ascii="宋体" w:hAnsi="宋体"/>
        </w:rPr>
        <w:t>通过修剪使植株通风透光、枝叶分布均匀，平衡营养生长及生殖生长。</w:t>
      </w:r>
    </w:p>
    <w:p w14:paraId="176E79E1">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.2.1幼树期</w:t>
      </w:r>
    </w:p>
    <w:p w14:paraId="7CDDD07C">
      <w:pPr>
        <w:pStyle w:val="28"/>
        <w:spacing w:line="360" w:lineRule="auto"/>
        <w:contextualSpacing/>
        <w:rPr>
          <w:rFonts w:ascii="宋体" w:hAnsi="宋体"/>
        </w:rPr>
      </w:pPr>
      <w:r>
        <w:rPr>
          <w:rFonts w:hint="eastAsia" w:ascii="宋体" w:hAnsi="宋体"/>
        </w:rPr>
        <w:t>1～3年生树免剪或少剪，之后以轻剪为主。在中央干延长枝和各主枝、副主枝延长枝老熟饱满芽处进行中度至重度短截（短截1/3～1/2），并以短截程度和剪口芽方向调节各主枝之间生长势的平衡。轻剪其余枝梢，避免过多的短截。徒长枝除用于填空补缺，采取摘心或短截外，其余的删除。通过整形修剪培养树体的主干和主枝骨架。</w:t>
      </w:r>
    </w:p>
    <w:p w14:paraId="58595136">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.2.2初结果期</w:t>
      </w:r>
    </w:p>
    <w:p w14:paraId="6CC074C2">
      <w:pPr>
        <w:pStyle w:val="28"/>
        <w:spacing w:line="360" w:lineRule="auto"/>
        <w:contextualSpacing/>
        <w:rPr>
          <w:rFonts w:ascii="宋体" w:hAnsi="宋体"/>
        </w:rPr>
      </w:pPr>
      <w:r>
        <w:rPr>
          <w:rFonts w:hint="eastAsia" w:ascii="宋体" w:hAnsi="宋体"/>
        </w:rPr>
        <w:t>以冬季轻剪为主，辅以夏季摘心和短剪。对过长的营养枝留8～10片叶（20cm～25cm）摘心或短截，促发分枝。对春梢抽生过多、过旺的应适当疏除部分春梢。回缩或短截结果后的枝组。继续选择和短截处理各级骨干枝延长枝，抹除夏梢和徒长枝，促发健壮春梢和秋梢。对于直立旺长植株可在7～9月进行撑、拉、吊枝和扭枝等处理，促进花芽分化。</w:t>
      </w:r>
    </w:p>
    <w:p w14:paraId="69DE4B18">
      <w:pPr>
        <w:spacing w:line="360" w:lineRule="auto"/>
        <w:contextualSpacing/>
        <w:rPr>
          <w:rFonts w:ascii="黑体" w:hAnsi="黑体" w:eastAsia="黑体"/>
          <w:b/>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.2.3</w:t>
      </w:r>
      <w:r>
        <w:rPr>
          <w:rFonts w:hint="eastAsia" w:ascii="黑体" w:hAnsi="黑体" w:eastAsia="黑体"/>
          <w:szCs w:val="21"/>
        </w:rPr>
        <w:t xml:space="preserve"> </w:t>
      </w:r>
      <w:r>
        <w:rPr>
          <w:rFonts w:ascii="黑体" w:hAnsi="黑体" w:eastAsia="黑体"/>
          <w:szCs w:val="21"/>
        </w:rPr>
        <w:t>盛果期</w:t>
      </w:r>
    </w:p>
    <w:p w14:paraId="1364DC0D">
      <w:pPr>
        <w:pStyle w:val="28"/>
        <w:spacing w:line="360" w:lineRule="auto"/>
        <w:contextualSpacing/>
        <w:rPr>
          <w:rFonts w:ascii="宋体" w:hAnsi="宋体"/>
        </w:rPr>
      </w:pPr>
      <w:r>
        <w:rPr>
          <w:rFonts w:hint="eastAsia" w:ascii="宋体" w:hAnsi="宋体"/>
        </w:rPr>
        <w:t>大年疏剪和短剪秋梢结果枝组，疏去过多过密幼果并促发健壮早秋梢，合理配备下年结果母枝，确保枝组轮换结果与持续丰产。</w:t>
      </w:r>
    </w:p>
    <w:p w14:paraId="0651BECC">
      <w:pPr>
        <w:pStyle w:val="28"/>
        <w:spacing w:line="360" w:lineRule="auto"/>
        <w:contextualSpacing/>
        <w:rPr>
          <w:rFonts w:ascii="宋体" w:hAnsi="宋体"/>
        </w:rPr>
      </w:pPr>
      <w:r>
        <w:rPr>
          <w:rFonts w:hint="eastAsia" w:ascii="宋体" w:hAnsi="宋体"/>
        </w:rPr>
        <w:t>回缩结果枝组，短剪强枝，疏除弱枝，短剪或疏除落花落果枝组和衰退枝组。对抽生较长的春、秋梢营养枝，保留8～10片叶摘心，结果后疏除。对春梢抽生过多、过旺的应适当疏除部分春梢。短剪结果后下垂衰弱枝。对顶部过多直立大枝，按强树疏强枝、中庸树疏直立枝的原则处理。对较拥挤的骨干枝适当疏剪锯大枝开出“天窗”，改善树冠内膛光照条件。剪除病虫枝、枯枝。</w:t>
      </w:r>
    </w:p>
    <w:p w14:paraId="1AE884E1">
      <w:pPr>
        <w:spacing w:line="360" w:lineRule="auto"/>
        <w:contextualSpacing/>
        <w:rPr>
          <w:rFonts w:ascii="黑体" w:hAnsi="黑体" w:eastAsia="黑体"/>
          <w:b/>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4</w:t>
      </w:r>
      <w:r>
        <w:rPr>
          <w:rFonts w:ascii="黑体" w:hAnsi="黑体" w:eastAsia="黑体"/>
          <w:szCs w:val="21"/>
        </w:rPr>
        <w:t>.2.4</w:t>
      </w:r>
      <w:r>
        <w:rPr>
          <w:rFonts w:hint="eastAsia" w:ascii="黑体" w:hAnsi="黑体" w:eastAsia="黑体"/>
          <w:szCs w:val="21"/>
        </w:rPr>
        <w:t xml:space="preserve"> </w:t>
      </w:r>
      <w:r>
        <w:rPr>
          <w:rFonts w:ascii="黑体" w:hAnsi="黑体" w:eastAsia="黑体"/>
          <w:szCs w:val="21"/>
        </w:rPr>
        <w:t>衰老更新期</w:t>
      </w:r>
    </w:p>
    <w:p w14:paraId="58A2F0EA">
      <w:pPr>
        <w:pStyle w:val="28"/>
        <w:spacing w:line="360" w:lineRule="auto"/>
        <w:contextualSpacing/>
        <w:rPr>
          <w:rFonts w:ascii="宋体" w:hAnsi="宋体"/>
        </w:rPr>
      </w:pPr>
      <w:r>
        <w:rPr>
          <w:rFonts w:hint="eastAsia" w:ascii="宋体" w:hAnsi="宋体"/>
        </w:rPr>
        <w:t>应减少花量，回缩衰弱枝组，疏删密弱枝群，短截夏、秋梢营养枝，促发春、夏、秋梢，并实施短截强枝、保留中庸枝和疏去弱枝，以恢复树势。</w:t>
      </w:r>
    </w:p>
    <w:p w14:paraId="59416FCC">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 xml:space="preserve">5  </w:t>
      </w:r>
      <w:r>
        <w:rPr>
          <w:rFonts w:ascii="黑体" w:hAnsi="黑体" w:eastAsia="黑体"/>
          <w:szCs w:val="21"/>
        </w:rPr>
        <w:t>花果管理</w:t>
      </w:r>
    </w:p>
    <w:p w14:paraId="526822B6">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5</w:t>
      </w:r>
      <w:r>
        <w:rPr>
          <w:rFonts w:ascii="黑体" w:hAnsi="黑体" w:eastAsia="黑体"/>
          <w:szCs w:val="21"/>
        </w:rPr>
        <w:t>.1</w:t>
      </w:r>
      <w:r>
        <w:rPr>
          <w:rFonts w:hint="eastAsia" w:ascii="黑体" w:hAnsi="黑体" w:eastAsia="黑体"/>
          <w:szCs w:val="21"/>
        </w:rPr>
        <w:t xml:space="preserve"> </w:t>
      </w:r>
      <w:r>
        <w:rPr>
          <w:rFonts w:ascii="黑体" w:hAnsi="黑体" w:eastAsia="黑体"/>
          <w:szCs w:val="21"/>
        </w:rPr>
        <w:t>控花</w:t>
      </w:r>
    </w:p>
    <w:p w14:paraId="1476391E">
      <w:pPr>
        <w:pStyle w:val="28"/>
        <w:spacing w:line="360" w:lineRule="auto"/>
        <w:contextualSpacing/>
        <w:rPr>
          <w:rFonts w:ascii="宋体" w:hAnsi="宋体"/>
        </w:rPr>
      </w:pPr>
      <w:r>
        <w:rPr>
          <w:rFonts w:hint="eastAsia" w:ascii="宋体" w:hAnsi="宋体"/>
        </w:rPr>
        <w:t>花量较大年份，在头年的11～12月根据树势情况，按枝梢类型作疏、短、缩修剪，短截、回缩修剪疏除部分结果母枝，控制花量；春季花期复剪，强枝适当多留花，弱枝少留或不留，减少无效花量；疏除畸形花、病虫花等。</w:t>
      </w:r>
    </w:p>
    <w:p w14:paraId="40254F21">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5</w:t>
      </w:r>
      <w:r>
        <w:rPr>
          <w:rFonts w:ascii="黑体" w:hAnsi="黑体" w:eastAsia="黑体"/>
          <w:szCs w:val="21"/>
        </w:rPr>
        <w:t>.2</w:t>
      </w:r>
      <w:r>
        <w:rPr>
          <w:rFonts w:hint="eastAsia" w:ascii="黑体" w:hAnsi="黑体" w:eastAsia="黑体"/>
          <w:szCs w:val="21"/>
        </w:rPr>
        <w:t xml:space="preserve"> </w:t>
      </w:r>
      <w:r>
        <w:rPr>
          <w:rFonts w:ascii="黑体" w:hAnsi="黑体" w:eastAsia="黑体"/>
          <w:szCs w:val="21"/>
        </w:rPr>
        <w:t>人工疏果</w:t>
      </w:r>
    </w:p>
    <w:p w14:paraId="5A9E7FBA">
      <w:pPr>
        <w:pStyle w:val="28"/>
        <w:spacing w:line="360" w:lineRule="auto"/>
        <w:contextualSpacing/>
        <w:rPr>
          <w:rFonts w:ascii="宋体" w:hAnsi="宋体"/>
        </w:rPr>
      </w:pPr>
      <w:r>
        <w:rPr>
          <w:rFonts w:hint="eastAsia" w:ascii="宋体" w:hAnsi="宋体"/>
        </w:rPr>
        <w:t>分两次进行，第二次生理落果后的6月中旬～7月中旬进行第一次疏果，疏除病虫果、畸形果、密弱小果；9月下旬，进行第二次疏果，10月初结束疏果。</w:t>
      </w:r>
    </w:p>
    <w:p w14:paraId="4461A0F7">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5</w:t>
      </w:r>
      <w:r>
        <w:rPr>
          <w:rFonts w:ascii="黑体" w:hAnsi="黑体" w:eastAsia="黑体"/>
          <w:szCs w:val="21"/>
        </w:rPr>
        <w:t>.</w:t>
      </w:r>
      <w:r>
        <w:rPr>
          <w:rFonts w:hint="eastAsia" w:ascii="黑体" w:hAnsi="黑体" w:eastAsia="黑体"/>
          <w:szCs w:val="21"/>
        </w:rPr>
        <w:t xml:space="preserve">3 </w:t>
      </w:r>
      <w:r>
        <w:rPr>
          <w:rFonts w:ascii="黑体" w:hAnsi="黑体" w:eastAsia="黑体"/>
          <w:szCs w:val="21"/>
        </w:rPr>
        <w:t>保花保果</w:t>
      </w:r>
    </w:p>
    <w:p w14:paraId="2CDF00C0">
      <w:pPr>
        <w:pStyle w:val="28"/>
        <w:spacing w:line="360" w:lineRule="auto"/>
        <w:contextualSpacing/>
        <w:rPr>
          <w:rFonts w:ascii="宋体" w:hAnsi="宋体"/>
        </w:rPr>
      </w:pPr>
      <w:r>
        <w:rPr>
          <w:rFonts w:hint="eastAsia" w:ascii="宋体" w:hAnsi="宋体"/>
        </w:rPr>
        <w:t>初花期树，喷施0.3%尿素＋0.2%～0.3%磷酸二氢钾＋0.1%～0.3%硼砂。幼果期树，喷施0.3%尿素＋0.2%～0.3%磷酸二氢钾，间隔7 天一次，连续2～3次，以提高坐果率。5～６月，及时控制和抹除过多过旺的夏梢，及时防治红黄蜘蛛，土壤干旱及时补水。</w:t>
      </w:r>
    </w:p>
    <w:p w14:paraId="6D6F1293">
      <w:pPr>
        <w:pStyle w:val="28"/>
        <w:spacing w:line="360" w:lineRule="auto"/>
        <w:contextualSpacing/>
        <w:rPr>
          <w:rFonts w:ascii="宋体" w:hAnsi="宋体"/>
        </w:rPr>
      </w:pPr>
      <w:r>
        <w:rPr>
          <w:rFonts w:hint="eastAsia" w:ascii="宋体" w:hAnsi="宋体"/>
        </w:rPr>
        <w:t>不提倡使用植物生长调节剂进行保花保果。</w:t>
      </w:r>
    </w:p>
    <w:p w14:paraId="03994A78">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5</w:t>
      </w:r>
      <w:r>
        <w:rPr>
          <w:rFonts w:ascii="黑体" w:hAnsi="黑体" w:eastAsia="黑体"/>
          <w:szCs w:val="21"/>
        </w:rPr>
        <w:t>.</w:t>
      </w:r>
      <w:r>
        <w:rPr>
          <w:rFonts w:hint="eastAsia" w:ascii="黑体" w:hAnsi="黑体" w:eastAsia="黑体"/>
          <w:szCs w:val="21"/>
        </w:rPr>
        <w:t xml:space="preserve">4 </w:t>
      </w:r>
      <w:r>
        <w:rPr>
          <w:rFonts w:ascii="黑体" w:hAnsi="黑体" w:eastAsia="黑体"/>
          <w:szCs w:val="21"/>
        </w:rPr>
        <w:t>留树保鲜</w:t>
      </w:r>
    </w:p>
    <w:p w14:paraId="049EC389">
      <w:pPr>
        <w:pStyle w:val="28"/>
        <w:spacing w:line="360" w:lineRule="auto"/>
        <w:contextualSpacing/>
        <w:rPr>
          <w:rFonts w:ascii="宋体" w:hAnsi="宋体"/>
        </w:rPr>
      </w:pPr>
      <w:r>
        <w:rPr>
          <w:rFonts w:hint="eastAsia" w:ascii="宋体" w:hAnsi="宋体"/>
        </w:rPr>
        <w:t>根据各地栽培品种、立地环境条件、栽培技术水平、销售市场需求而确定是否采用留树保鲜技术措施。</w:t>
      </w:r>
    </w:p>
    <w:p w14:paraId="14FDC64B">
      <w:pPr>
        <w:pStyle w:val="28"/>
        <w:spacing w:line="360" w:lineRule="auto"/>
        <w:contextualSpacing/>
        <w:rPr>
          <w:rFonts w:ascii="宋体" w:hAnsi="宋体"/>
        </w:rPr>
      </w:pPr>
      <w:r>
        <w:rPr>
          <w:rFonts w:hint="eastAsia" w:ascii="宋体" w:hAnsi="宋体"/>
        </w:rPr>
        <w:t>留树保鲜果园在10月中、下旬施入冬肥(基肥)，并灌入充足的水分；10月中旬～11月中旬，防治红黄蜘蛛和果实病害，并进行保果。冬季树冠覆膜，在日均温降到10°C左右时，用4um～6um流滴膜进行树冠覆膜。春季适时揭膜，分两次进行，当日均温稳定通过12°C时，可将覆膜部分敞开；当日均温稳定通过15°C时，可将覆膜全部揭开。揭膜后，根据土壤干旱程度适当补充灌水和防治病虫害。</w:t>
      </w:r>
    </w:p>
    <w:p w14:paraId="23B13FBC">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 xml:space="preserve">6 </w:t>
      </w:r>
      <w:r>
        <w:rPr>
          <w:rFonts w:ascii="黑体" w:hAnsi="黑体" w:eastAsia="黑体"/>
          <w:szCs w:val="21"/>
        </w:rPr>
        <w:t>病虫害防治</w:t>
      </w:r>
    </w:p>
    <w:p w14:paraId="6C701ECF">
      <w:pPr>
        <w:pStyle w:val="28"/>
        <w:spacing w:line="360" w:lineRule="auto"/>
        <w:contextualSpacing/>
        <w:rPr>
          <w:rFonts w:ascii="宋体" w:hAnsi="宋体"/>
        </w:rPr>
      </w:pPr>
      <w:r>
        <w:rPr>
          <w:rFonts w:hint="eastAsia" w:ascii="宋体" w:hAnsi="宋体"/>
        </w:rPr>
        <w:t>坚持“预防为主、综合防治”的方针，以农业防治措施为主，采用物理防治、生物防治措施，必要时辅以化学防治措施，将病虫害控制在经济允许水平范围以内。</w:t>
      </w:r>
    </w:p>
    <w:p w14:paraId="56653452">
      <w:pPr>
        <w:pStyle w:val="28"/>
        <w:spacing w:line="360" w:lineRule="auto"/>
        <w:contextualSpacing/>
        <w:rPr>
          <w:rFonts w:ascii="宋体" w:hAnsi="宋体"/>
        </w:rPr>
      </w:pPr>
      <w:r>
        <w:rPr>
          <w:rFonts w:hint="eastAsia" w:ascii="宋体" w:hAnsi="宋体"/>
        </w:rPr>
        <w:t>甜橙类常见的病虫害包括柑橘红蜘蛛、锈壁虱、蚜虫类、矢尖蚧、红蜡蚧、粉虱、潜叶蛾、等，以及炭疽病、树脂病、疮痂病等病害。</w:t>
      </w:r>
    </w:p>
    <w:p w14:paraId="534580F3">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6</w:t>
      </w:r>
      <w:r>
        <w:rPr>
          <w:rFonts w:ascii="黑体" w:hAnsi="黑体" w:eastAsia="黑体"/>
          <w:szCs w:val="21"/>
        </w:rPr>
        <w:t>.1</w:t>
      </w:r>
      <w:r>
        <w:rPr>
          <w:rFonts w:hint="eastAsia" w:ascii="黑体" w:hAnsi="黑体" w:eastAsia="黑体"/>
          <w:szCs w:val="21"/>
        </w:rPr>
        <w:t xml:space="preserve"> </w:t>
      </w:r>
      <w:r>
        <w:rPr>
          <w:rFonts w:ascii="黑体" w:hAnsi="黑体" w:eastAsia="黑体"/>
          <w:szCs w:val="21"/>
        </w:rPr>
        <w:t>农业防治</w:t>
      </w:r>
    </w:p>
    <w:p w14:paraId="3E7C37E7">
      <w:pPr>
        <w:pStyle w:val="29"/>
        <w:spacing w:line="360" w:lineRule="auto"/>
        <w:ind w:firstLine="420" w:firstLineChars="200"/>
        <w:rPr>
          <w:rFonts w:hAnsi="宋体"/>
          <w:sz w:val="21"/>
          <w:szCs w:val="21"/>
        </w:rPr>
      </w:pPr>
      <w:r>
        <w:rPr>
          <w:rFonts w:hAnsi="宋体"/>
          <w:sz w:val="21"/>
          <w:szCs w:val="21"/>
        </w:rPr>
        <w:t>因地制宜，选择抗性品种和砧木；科学施肥，合理负载，增强树势；科学整形，合理修剪，保持树冠通风透光良好；冬季清园，剪除病虫枝、清除枯枝落叶、树干刷白；以及中耕树盘、地面覆盖等综合农业措施，提高树体抗病虫能力，抑制或减少病虫害的发生。</w:t>
      </w:r>
    </w:p>
    <w:p w14:paraId="20D88555">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6</w:t>
      </w:r>
      <w:r>
        <w:rPr>
          <w:rFonts w:ascii="黑体" w:hAnsi="黑体" w:eastAsia="黑体"/>
          <w:szCs w:val="21"/>
        </w:rPr>
        <w:t>.2</w:t>
      </w:r>
      <w:r>
        <w:rPr>
          <w:rFonts w:hint="eastAsia" w:ascii="黑体" w:hAnsi="黑体" w:eastAsia="黑体"/>
          <w:szCs w:val="21"/>
        </w:rPr>
        <w:t xml:space="preserve">  </w:t>
      </w:r>
      <w:r>
        <w:rPr>
          <w:rFonts w:ascii="黑体" w:hAnsi="黑体" w:eastAsia="黑体"/>
          <w:szCs w:val="21"/>
        </w:rPr>
        <w:t>物理防治</w:t>
      </w:r>
    </w:p>
    <w:p w14:paraId="0EDC55E3">
      <w:pPr>
        <w:pStyle w:val="29"/>
        <w:spacing w:line="360" w:lineRule="auto"/>
        <w:ind w:firstLine="420" w:firstLineChars="200"/>
        <w:rPr>
          <w:rFonts w:hAnsi="宋体"/>
          <w:sz w:val="21"/>
          <w:szCs w:val="21"/>
        </w:rPr>
      </w:pPr>
      <w:r>
        <w:rPr>
          <w:rFonts w:hAnsi="宋体"/>
          <w:sz w:val="21"/>
          <w:szCs w:val="21"/>
        </w:rPr>
        <w:t>根据害虫生物学特性，采用糖醋液、黑光灯、频振式杀虫灯、树干缠草把、粘着剂和防虫网等方法诱捕害虫。</w:t>
      </w:r>
    </w:p>
    <w:p w14:paraId="26EBB07E">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6</w:t>
      </w:r>
      <w:r>
        <w:rPr>
          <w:rFonts w:ascii="黑体" w:hAnsi="黑体" w:eastAsia="黑体"/>
          <w:szCs w:val="21"/>
        </w:rPr>
        <w:t>.3</w:t>
      </w:r>
      <w:r>
        <w:rPr>
          <w:rFonts w:hint="eastAsia" w:ascii="黑体" w:hAnsi="黑体" w:eastAsia="黑体"/>
          <w:szCs w:val="21"/>
        </w:rPr>
        <w:t xml:space="preserve"> </w:t>
      </w:r>
      <w:r>
        <w:rPr>
          <w:rFonts w:ascii="黑体" w:hAnsi="黑体" w:eastAsia="黑体"/>
          <w:szCs w:val="21"/>
        </w:rPr>
        <w:t>生物防治</w:t>
      </w:r>
    </w:p>
    <w:p w14:paraId="1517B237">
      <w:pPr>
        <w:pStyle w:val="29"/>
        <w:spacing w:line="360" w:lineRule="auto"/>
        <w:ind w:firstLine="420" w:firstLineChars="200"/>
        <w:rPr>
          <w:rFonts w:hAnsi="宋体"/>
          <w:sz w:val="21"/>
          <w:szCs w:val="21"/>
        </w:rPr>
      </w:pPr>
      <w:r>
        <w:rPr>
          <w:rFonts w:hAnsi="宋体"/>
          <w:sz w:val="21"/>
          <w:szCs w:val="21"/>
        </w:rPr>
        <w:t>改善果园生态环境，保护瓢虫、草蛉、捕食螨等天敌；人工引移、繁殖释放天敌；利用有益微生物或其代谢物（如性诱剂）诱杀害虫。</w:t>
      </w:r>
    </w:p>
    <w:p w14:paraId="71838871">
      <w:pPr>
        <w:spacing w:line="360" w:lineRule="auto"/>
        <w:contextualSpacing/>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6</w:t>
      </w:r>
      <w:r>
        <w:rPr>
          <w:rFonts w:ascii="黑体" w:hAnsi="黑体" w:eastAsia="黑体"/>
          <w:szCs w:val="21"/>
        </w:rPr>
        <w:t>.4</w:t>
      </w:r>
      <w:r>
        <w:rPr>
          <w:rFonts w:hint="eastAsia" w:ascii="黑体" w:hAnsi="黑体" w:eastAsia="黑体"/>
          <w:szCs w:val="21"/>
        </w:rPr>
        <w:t xml:space="preserve"> </w:t>
      </w:r>
      <w:r>
        <w:rPr>
          <w:rFonts w:ascii="黑体" w:hAnsi="黑体" w:eastAsia="黑体"/>
          <w:szCs w:val="21"/>
        </w:rPr>
        <w:t>化学防治</w:t>
      </w:r>
    </w:p>
    <w:p w14:paraId="0D146822">
      <w:pPr>
        <w:pStyle w:val="29"/>
        <w:spacing w:line="360" w:lineRule="auto"/>
        <w:ind w:firstLine="420" w:firstLineChars="200"/>
        <w:rPr>
          <w:rFonts w:hAnsi="宋体"/>
          <w:sz w:val="21"/>
          <w:szCs w:val="21"/>
        </w:rPr>
      </w:pPr>
      <w:r>
        <w:rPr>
          <w:rFonts w:hAnsi="宋体"/>
          <w:sz w:val="21"/>
          <w:szCs w:val="21"/>
        </w:rPr>
        <w:t>根据防治对象的生物学特性和为害特点，在病虫测报的基础上，使用与环境友好、高效、低毒、低残的农药。提倡使用生物源农药、矿物源农药，并交替使用农药。禁止使用剧毒、高毒、高残留和致畸、致癌、致突变农药。</w:t>
      </w:r>
    </w:p>
    <w:p w14:paraId="15AD51E4">
      <w:pPr>
        <w:pStyle w:val="29"/>
        <w:spacing w:line="360" w:lineRule="auto"/>
        <w:ind w:firstLine="420" w:firstLineChars="200"/>
        <w:rPr>
          <w:rFonts w:hAnsi="宋体"/>
          <w:sz w:val="21"/>
          <w:szCs w:val="21"/>
        </w:rPr>
      </w:pPr>
      <w:r>
        <w:rPr>
          <w:rFonts w:hAnsi="宋体"/>
          <w:sz w:val="21"/>
          <w:szCs w:val="21"/>
        </w:rPr>
        <w:t>化学防治严格按照GB/T 8321、GB 12475、NY/T</w:t>
      </w:r>
      <w:r>
        <w:rPr>
          <w:rFonts w:hint="eastAsia" w:hAnsi="宋体"/>
          <w:sz w:val="21"/>
          <w:szCs w:val="21"/>
        </w:rPr>
        <w:t xml:space="preserve"> </w:t>
      </w:r>
      <w:r>
        <w:rPr>
          <w:rFonts w:hAnsi="宋体"/>
          <w:sz w:val="21"/>
          <w:szCs w:val="21"/>
        </w:rPr>
        <w:t>393的规定使用农药，控制施药剂量（或浓度）、减少施药次数，达到安全间隔期。主要病虫害的化学防治</w:t>
      </w:r>
      <w:r>
        <w:rPr>
          <w:rFonts w:hint="eastAsia" w:hAnsi="宋体"/>
          <w:sz w:val="21"/>
          <w:szCs w:val="21"/>
        </w:rPr>
        <w:t>方案</w:t>
      </w:r>
      <w:r>
        <w:rPr>
          <w:rFonts w:hAnsi="宋体"/>
          <w:sz w:val="21"/>
          <w:szCs w:val="21"/>
        </w:rPr>
        <w:t>参见附录A。</w:t>
      </w:r>
    </w:p>
    <w:p w14:paraId="12E85522">
      <w:pPr>
        <w:spacing w:line="360" w:lineRule="auto"/>
        <w:contextualSpacing/>
        <w:rPr>
          <w:rFonts w:ascii="黑体" w:hAnsi="黑体" w:eastAsia="黑体"/>
          <w:szCs w:val="21"/>
        </w:rPr>
      </w:pPr>
      <w:r>
        <w:rPr>
          <w:rFonts w:hint="eastAsia" w:ascii="黑体" w:hAnsi="黑体" w:eastAsia="黑体"/>
          <w:szCs w:val="21"/>
        </w:rPr>
        <w:t>7</w:t>
      </w:r>
      <w:r>
        <w:rPr>
          <w:rFonts w:ascii="黑体" w:hAnsi="黑体" w:eastAsia="黑体"/>
          <w:szCs w:val="21"/>
        </w:rPr>
        <w:t xml:space="preserve"> 采收</w:t>
      </w:r>
    </w:p>
    <w:p w14:paraId="044390ED">
      <w:pPr>
        <w:pStyle w:val="29"/>
        <w:spacing w:line="360" w:lineRule="auto"/>
        <w:ind w:firstLine="420" w:firstLineChars="200"/>
        <w:rPr>
          <w:rFonts w:hAnsi="宋体"/>
          <w:sz w:val="21"/>
          <w:szCs w:val="21"/>
        </w:rPr>
      </w:pPr>
      <w:r>
        <w:rPr>
          <w:rFonts w:hAnsi="宋体"/>
          <w:sz w:val="21"/>
          <w:szCs w:val="21"/>
        </w:rPr>
        <w:t>鲜销果在果实正常成熟、具有本品种固有的品质特征（色泽、香味、风味和固酸比等）时采收。贮藏果比鲜销果宜早7～10天采收。避免在雨天采果，采取二剪法采果，减少果实伤口，降低果实腐烂率，提高采果质量。不使用有毒有害药品处理果实。果品质量</w:t>
      </w:r>
      <w:r>
        <w:rPr>
          <w:rFonts w:hint="eastAsia" w:hAnsi="宋体"/>
          <w:sz w:val="21"/>
          <w:szCs w:val="21"/>
        </w:rPr>
        <w:t>应</w:t>
      </w:r>
      <w:r>
        <w:rPr>
          <w:rFonts w:hAnsi="宋体"/>
          <w:sz w:val="21"/>
          <w:szCs w:val="21"/>
        </w:rPr>
        <w:t>符合NY/</w:t>
      </w:r>
      <w:r>
        <w:rPr>
          <w:rFonts w:hint="eastAsia" w:hAnsi="宋体"/>
          <w:sz w:val="21"/>
          <w:szCs w:val="21"/>
        </w:rPr>
        <w:t xml:space="preserve">T </w:t>
      </w:r>
      <w:r>
        <w:rPr>
          <w:rFonts w:hAnsi="宋体"/>
          <w:sz w:val="21"/>
          <w:szCs w:val="21"/>
        </w:rPr>
        <w:t>426的要求</w:t>
      </w:r>
      <w:r>
        <w:rPr>
          <w:rFonts w:hint="eastAsia" w:hAnsi="宋体"/>
          <w:sz w:val="21"/>
          <w:szCs w:val="21"/>
        </w:rPr>
        <w:t>。</w:t>
      </w:r>
    </w:p>
    <w:p w14:paraId="18812E50">
      <w:pPr>
        <w:spacing w:line="360" w:lineRule="auto"/>
        <w:contextualSpacing/>
        <w:rPr>
          <w:rFonts w:ascii="黑体" w:hAnsi="黑体" w:eastAsia="黑体"/>
          <w:szCs w:val="21"/>
        </w:rPr>
      </w:pPr>
      <w:r>
        <w:rPr>
          <w:rFonts w:hint="eastAsia" w:ascii="黑体" w:hAnsi="黑体" w:eastAsia="黑体"/>
          <w:szCs w:val="21"/>
        </w:rPr>
        <w:t xml:space="preserve">8 </w:t>
      </w:r>
      <w:r>
        <w:rPr>
          <w:rFonts w:ascii="黑体" w:hAnsi="黑体" w:eastAsia="黑体"/>
          <w:szCs w:val="21"/>
        </w:rPr>
        <w:t>生产废弃物的处理</w:t>
      </w:r>
    </w:p>
    <w:p w14:paraId="4221D91E">
      <w:pPr>
        <w:pStyle w:val="29"/>
        <w:spacing w:line="360" w:lineRule="auto"/>
        <w:ind w:firstLine="420" w:firstLineChars="200"/>
        <w:rPr>
          <w:rFonts w:hAnsi="宋体"/>
          <w:sz w:val="21"/>
          <w:szCs w:val="21"/>
        </w:rPr>
      </w:pPr>
      <w:r>
        <w:rPr>
          <w:rFonts w:hAnsi="宋体"/>
          <w:sz w:val="21"/>
          <w:szCs w:val="21"/>
        </w:rPr>
        <w:t>保证</w:t>
      </w:r>
      <w:r>
        <w:rPr>
          <w:rFonts w:hint="eastAsia" w:hAnsi="宋体"/>
          <w:sz w:val="21"/>
          <w:szCs w:val="21"/>
        </w:rPr>
        <w:t>果园</w:t>
      </w:r>
      <w:r>
        <w:rPr>
          <w:rFonts w:hAnsi="宋体"/>
          <w:sz w:val="21"/>
          <w:szCs w:val="21"/>
        </w:rPr>
        <w:t>具有可持续生产能力，不对环境或周边其它生物产生污染。清理田间各类废弃的农用塑料膜、农药包装袋和瓶，集中回收处理；带病虫害的落叶、落果、枯枝等集中销毁或集中深埋。在田边地角建设废弃物收集处理池。用作绿肥或有机</w:t>
      </w:r>
      <w:r>
        <w:rPr>
          <w:rFonts w:hint="eastAsia" w:hAnsi="宋体"/>
          <w:sz w:val="21"/>
          <w:szCs w:val="21"/>
        </w:rPr>
        <w:t>肥</w:t>
      </w:r>
      <w:r>
        <w:rPr>
          <w:rFonts w:hAnsi="宋体"/>
          <w:sz w:val="21"/>
          <w:szCs w:val="21"/>
        </w:rPr>
        <w:t>的秸秆覆盖果园或埋入施肥穴。</w:t>
      </w:r>
    </w:p>
    <w:p w14:paraId="570FDD69">
      <w:pPr>
        <w:spacing w:line="360" w:lineRule="auto"/>
        <w:contextualSpacing/>
        <w:rPr>
          <w:rFonts w:ascii="黑体" w:hAnsi="黑体" w:eastAsia="黑体"/>
          <w:szCs w:val="21"/>
        </w:rPr>
      </w:pPr>
      <w:r>
        <w:rPr>
          <w:rFonts w:hint="eastAsia" w:ascii="黑体" w:hAnsi="黑体" w:eastAsia="黑体"/>
          <w:szCs w:val="21"/>
        </w:rPr>
        <w:t xml:space="preserve">9 </w:t>
      </w:r>
      <w:r>
        <w:rPr>
          <w:rFonts w:ascii="黑体" w:hAnsi="黑体" w:eastAsia="黑体"/>
          <w:szCs w:val="21"/>
        </w:rPr>
        <w:t>贮藏</w:t>
      </w:r>
    </w:p>
    <w:p w14:paraId="3B54E9F0">
      <w:pPr>
        <w:pStyle w:val="29"/>
        <w:spacing w:line="360" w:lineRule="auto"/>
        <w:ind w:firstLine="420" w:firstLineChars="200"/>
        <w:rPr>
          <w:rFonts w:hAnsi="宋体"/>
          <w:sz w:val="21"/>
          <w:szCs w:val="21"/>
        </w:rPr>
      </w:pPr>
      <w:r>
        <w:rPr>
          <w:rFonts w:hAnsi="宋体"/>
          <w:sz w:val="21"/>
          <w:szCs w:val="21"/>
        </w:rPr>
        <w:t>需要贮藏的果实</w:t>
      </w:r>
      <w:r>
        <w:rPr>
          <w:rFonts w:hint="eastAsia" w:hAnsi="宋体"/>
          <w:sz w:val="21"/>
          <w:szCs w:val="21"/>
        </w:rPr>
        <w:t>，采后24小时内</w:t>
      </w:r>
      <w:r>
        <w:rPr>
          <w:rFonts w:hAnsi="宋体"/>
          <w:sz w:val="21"/>
          <w:szCs w:val="21"/>
        </w:rPr>
        <w:t>用抑霉唑或甲基硫菌灵</w:t>
      </w:r>
      <w:r>
        <w:rPr>
          <w:rFonts w:hint="eastAsia" w:hAnsi="宋体"/>
          <w:sz w:val="21"/>
          <w:szCs w:val="21"/>
        </w:rPr>
        <w:t>浸果处理</w:t>
      </w:r>
      <w:r>
        <w:rPr>
          <w:rFonts w:hAnsi="宋体"/>
          <w:sz w:val="21"/>
          <w:szCs w:val="21"/>
        </w:rPr>
        <w:t>，预贮2～3天，</w:t>
      </w:r>
      <w:r>
        <w:rPr>
          <w:rFonts w:hint="eastAsia" w:hAnsi="宋体"/>
          <w:sz w:val="21"/>
          <w:szCs w:val="21"/>
        </w:rPr>
        <w:t>再</w:t>
      </w:r>
      <w:r>
        <w:rPr>
          <w:rFonts w:hAnsi="宋体"/>
          <w:sz w:val="21"/>
          <w:szCs w:val="21"/>
        </w:rPr>
        <w:t>贮藏于经过消毒的冷库或通风贮藏库内。</w:t>
      </w:r>
      <w:r>
        <w:rPr>
          <w:rFonts w:hint="eastAsia" w:hAnsi="宋体"/>
          <w:sz w:val="21"/>
          <w:szCs w:val="21"/>
        </w:rPr>
        <w:t>贮藏温度，甜橙、宽皮柑橘和杂交柑橘5℃～8℃，柚5℃～10℃， 柠檬12℃～15℃。贮藏湿度，甜橙和柠檬90%～95%，宽皮柑橘、杂交柑橘和柚类85%～90%。</w:t>
      </w:r>
    </w:p>
    <w:p w14:paraId="7741740C">
      <w:pPr>
        <w:spacing w:line="360" w:lineRule="auto"/>
        <w:contextualSpacing/>
        <w:rPr>
          <w:rFonts w:ascii="黑体" w:hAnsi="黑体" w:eastAsia="黑体"/>
          <w:szCs w:val="21"/>
        </w:rPr>
      </w:pPr>
      <w:r>
        <w:rPr>
          <w:rFonts w:hint="eastAsia" w:ascii="黑体" w:hAnsi="黑体" w:eastAsia="黑体"/>
          <w:szCs w:val="21"/>
        </w:rPr>
        <w:t>10 建立生产档案</w:t>
      </w:r>
    </w:p>
    <w:p w14:paraId="7FD69A7F">
      <w:pPr>
        <w:pStyle w:val="29"/>
        <w:spacing w:line="360" w:lineRule="auto"/>
        <w:ind w:firstLine="420" w:firstLineChars="200"/>
        <w:rPr>
          <w:rFonts w:hAnsi="宋体"/>
          <w:sz w:val="21"/>
          <w:szCs w:val="21"/>
        </w:rPr>
      </w:pPr>
      <w:r>
        <w:rPr>
          <w:rFonts w:hAnsi="宋体"/>
          <w:sz w:val="21"/>
          <w:szCs w:val="21"/>
        </w:rPr>
        <w:t>建立绿色食品</w:t>
      </w:r>
      <w:r>
        <w:rPr>
          <w:rFonts w:hint="eastAsia" w:hAnsi="宋体"/>
          <w:sz w:val="21"/>
          <w:szCs w:val="21"/>
        </w:rPr>
        <w:t>甜橙</w:t>
      </w:r>
      <w:r>
        <w:rPr>
          <w:rFonts w:hAnsi="宋体"/>
          <w:sz w:val="21"/>
          <w:szCs w:val="21"/>
        </w:rPr>
        <w:t>生产档案。应详细记录产地环境条件、生产技术、肥水管理、病虫害的发生和防治、采收及采后处理等情况并保存记录</w:t>
      </w:r>
      <w:r>
        <w:rPr>
          <w:rFonts w:hint="eastAsia" w:hAnsi="宋体"/>
          <w:sz w:val="21"/>
          <w:szCs w:val="21"/>
        </w:rPr>
        <w:t>3</w:t>
      </w:r>
      <w:r>
        <w:rPr>
          <w:rFonts w:hAnsi="宋体"/>
          <w:sz w:val="21"/>
          <w:szCs w:val="21"/>
        </w:rPr>
        <w:t>年</w:t>
      </w:r>
      <w:r>
        <w:rPr>
          <w:rFonts w:hint="eastAsia" w:hAnsi="宋体"/>
          <w:sz w:val="21"/>
          <w:szCs w:val="21"/>
        </w:rPr>
        <w:t>以上。</w:t>
      </w:r>
    </w:p>
    <w:p w14:paraId="48785415">
      <w:pPr>
        <w:ind w:firstLine="420" w:firstLineChars="200"/>
        <w:jc w:val="left"/>
        <w:rPr>
          <w:rFonts w:ascii="宋体" w:hAnsi="宋体" w:eastAsia="宋体" w:cs="仿宋"/>
          <w:bCs/>
          <w:szCs w:val="21"/>
        </w:rPr>
      </w:pPr>
    </w:p>
    <w:p w14:paraId="05CCEE9B">
      <w:pPr>
        <w:ind w:firstLine="420" w:firstLineChars="200"/>
        <w:jc w:val="left"/>
        <w:rPr>
          <w:rFonts w:ascii="宋体" w:hAnsi="宋体" w:eastAsia="宋体" w:cs="仿宋"/>
          <w:bCs/>
          <w:szCs w:val="21"/>
        </w:rPr>
      </w:pPr>
    </w:p>
    <w:p w14:paraId="40FE275B">
      <w:pPr>
        <w:ind w:firstLine="420" w:firstLineChars="200"/>
        <w:jc w:val="left"/>
        <w:rPr>
          <w:rFonts w:ascii="宋体" w:hAnsi="宋体" w:eastAsia="宋体" w:cs="仿宋"/>
          <w:bCs/>
          <w:szCs w:val="21"/>
        </w:rPr>
      </w:pPr>
    </w:p>
    <w:p w14:paraId="30D8324B">
      <w:pPr>
        <w:ind w:firstLine="420" w:firstLineChars="200"/>
        <w:jc w:val="left"/>
        <w:rPr>
          <w:rFonts w:ascii="宋体" w:hAnsi="宋体" w:eastAsia="宋体" w:cs="仿宋"/>
          <w:bCs/>
          <w:szCs w:val="21"/>
        </w:rPr>
      </w:pPr>
    </w:p>
    <w:p w14:paraId="6F8A564F">
      <w:pPr>
        <w:ind w:firstLine="420" w:firstLineChars="200"/>
        <w:jc w:val="left"/>
        <w:rPr>
          <w:rFonts w:ascii="宋体" w:hAnsi="宋体" w:eastAsia="宋体" w:cs="仿宋"/>
          <w:bCs/>
          <w:szCs w:val="21"/>
        </w:rPr>
      </w:pPr>
    </w:p>
    <w:p w14:paraId="20A12851">
      <w:pPr>
        <w:ind w:firstLine="420" w:firstLineChars="200"/>
        <w:jc w:val="left"/>
        <w:rPr>
          <w:rFonts w:ascii="宋体" w:hAnsi="宋体" w:eastAsia="宋体" w:cs="仿宋"/>
          <w:bCs/>
          <w:szCs w:val="21"/>
        </w:rPr>
      </w:pPr>
    </w:p>
    <w:p w14:paraId="426AE1C5">
      <w:pPr>
        <w:ind w:firstLine="420" w:firstLineChars="200"/>
        <w:jc w:val="left"/>
        <w:rPr>
          <w:rFonts w:ascii="宋体" w:hAnsi="宋体" w:eastAsia="宋体" w:cs="仿宋"/>
          <w:bCs/>
          <w:szCs w:val="21"/>
        </w:rPr>
      </w:pPr>
    </w:p>
    <w:p w14:paraId="28F83C1C">
      <w:pPr>
        <w:ind w:firstLine="420" w:firstLineChars="200"/>
        <w:jc w:val="left"/>
        <w:rPr>
          <w:rFonts w:ascii="宋体" w:hAnsi="宋体" w:eastAsia="宋体" w:cs="仿宋"/>
          <w:bCs/>
          <w:szCs w:val="21"/>
        </w:rPr>
      </w:pPr>
    </w:p>
    <w:p w14:paraId="32FDD282">
      <w:pPr>
        <w:ind w:firstLine="420" w:firstLineChars="200"/>
        <w:jc w:val="left"/>
        <w:rPr>
          <w:rFonts w:ascii="宋体" w:hAnsi="宋体" w:eastAsia="宋体" w:cs="仿宋"/>
          <w:bCs/>
          <w:szCs w:val="21"/>
        </w:rPr>
      </w:pPr>
    </w:p>
    <w:p w14:paraId="0C2A2E6F">
      <w:pPr>
        <w:ind w:firstLine="420" w:firstLineChars="200"/>
        <w:jc w:val="left"/>
        <w:rPr>
          <w:rFonts w:ascii="宋体" w:hAnsi="宋体" w:eastAsia="宋体" w:cs="仿宋"/>
          <w:bCs/>
          <w:szCs w:val="21"/>
        </w:rPr>
      </w:pPr>
    </w:p>
    <w:p w14:paraId="25CF1185">
      <w:pPr>
        <w:jc w:val="center"/>
        <w:rPr>
          <w:rFonts w:ascii="黑体" w:hAnsi="黑体" w:eastAsia="黑体"/>
          <w:sz w:val="24"/>
          <w:szCs w:val="24"/>
        </w:rPr>
      </w:pPr>
      <w:r>
        <w:rPr>
          <w:rFonts w:hint="eastAsia" w:ascii="黑体" w:hAnsi="黑体" w:eastAsia="黑体"/>
          <w:sz w:val="24"/>
          <w:szCs w:val="24"/>
        </w:rPr>
        <w:t xml:space="preserve">附 录 A </w:t>
      </w:r>
    </w:p>
    <w:p w14:paraId="6293AF60">
      <w:pPr>
        <w:jc w:val="center"/>
        <w:rPr>
          <w:rFonts w:ascii="黑体" w:hAnsi="黑体" w:eastAsia="黑体"/>
          <w:sz w:val="24"/>
          <w:szCs w:val="24"/>
        </w:rPr>
      </w:pPr>
      <w:r>
        <w:rPr>
          <w:rFonts w:hint="eastAsia" w:ascii="黑体" w:hAnsi="黑体" w:eastAsia="黑体"/>
          <w:sz w:val="24"/>
          <w:szCs w:val="24"/>
        </w:rPr>
        <w:t>（资料性附录）</w:t>
      </w:r>
    </w:p>
    <w:p w14:paraId="261780EA">
      <w:pPr>
        <w:jc w:val="center"/>
        <w:rPr>
          <w:rFonts w:ascii="黑体" w:hAnsi="黑体" w:eastAsia="黑体"/>
          <w:sz w:val="24"/>
          <w:szCs w:val="24"/>
        </w:rPr>
      </w:pPr>
    </w:p>
    <w:p w14:paraId="4534124D">
      <w:pPr>
        <w:pStyle w:val="29"/>
        <w:spacing w:line="320" w:lineRule="exact"/>
        <w:ind w:firstLine="400" w:firstLineChars="200"/>
        <w:jc w:val="center"/>
        <w:rPr>
          <w:rFonts w:ascii="黑体" w:hAnsi="黑体" w:eastAsia="黑体"/>
          <w:sz w:val="21"/>
          <w:szCs w:val="21"/>
        </w:rPr>
      </w:pPr>
      <w:r>
        <w:rPr>
          <w:rFonts w:ascii="黑体" w:hAnsi="黑体" w:eastAsia="黑体"/>
          <w:szCs w:val="21"/>
        </w:rPr>
        <w:t>长江上中游</w:t>
      </w:r>
      <w:r>
        <w:rPr>
          <w:rFonts w:hint="eastAsia" w:ascii="黑体" w:hAnsi="黑体" w:eastAsia="黑体"/>
          <w:sz w:val="21"/>
          <w:szCs w:val="21"/>
        </w:rPr>
        <w:t>绿色食品甜橙生产</w:t>
      </w:r>
      <w:r>
        <w:rPr>
          <w:rFonts w:ascii="黑体" w:hAnsi="黑体" w:eastAsia="黑体"/>
          <w:sz w:val="21"/>
          <w:szCs w:val="21"/>
        </w:rPr>
        <w:t>主要病虫害的化学防治</w:t>
      </w:r>
      <w:r>
        <w:rPr>
          <w:rFonts w:hint="eastAsia" w:ascii="黑体" w:hAnsi="黑体" w:eastAsia="黑体"/>
          <w:sz w:val="21"/>
          <w:szCs w:val="21"/>
        </w:rPr>
        <w:t>方案</w:t>
      </w:r>
    </w:p>
    <w:tbl>
      <w:tblPr>
        <w:tblStyle w:val="9"/>
        <w:tblW w:w="10632" w:type="dxa"/>
        <w:tblInd w:w="-1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693"/>
        <w:gridCol w:w="2835"/>
        <w:gridCol w:w="1843"/>
        <w:gridCol w:w="709"/>
        <w:gridCol w:w="992"/>
      </w:tblGrid>
      <w:tr w14:paraId="2537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60" w:type="dxa"/>
            <w:vAlign w:val="center"/>
          </w:tcPr>
          <w:p w14:paraId="5E94F23D">
            <w:pPr>
              <w:pStyle w:val="29"/>
              <w:spacing w:line="320" w:lineRule="exact"/>
              <w:ind w:firstLine="0"/>
              <w:jc w:val="center"/>
              <w:rPr>
                <w:sz w:val="21"/>
                <w:szCs w:val="21"/>
              </w:rPr>
            </w:pPr>
            <w:r>
              <w:rPr>
                <w:sz w:val="21"/>
                <w:szCs w:val="21"/>
              </w:rPr>
              <w:t>防治对象</w:t>
            </w:r>
          </w:p>
        </w:tc>
        <w:tc>
          <w:tcPr>
            <w:tcW w:w="2693" w:type="dxa"/>
            <w:vAlign w:val="center"/>
          </w:tcPr>
          <w:p w14:paraId="3F9413B2">
            <w:pPr>
              <w:pStyle w:val="29"/>
              <w:spacing w:line="320" w:lineRule="exact"/>
              <w:ind w:firstLine="0"/>
              <w:jc w:val="center"/>
              <w:rPr>
                <w:sz w:val="21"/>
                <w:szCs w:val="21"/>
              </w:rPr>
            </w:pPr>
            <w:r>
              <w:rPr>
                <w:sz w:val="21"/>
                <w:szCs w:val="21"/>
              </w:rPr>
              <w:t>防治时期</w:t>
            </w:r>
          </w:p>
        </w:tc>
        <w:tc>
          <w:tcPr>
            <w:tcW w:w="2835" w:type="dxa"/>
            <w:vAlign w:val="center"/>
          </w:tcPr>
          <w:p w14:paraId="079D8611">
            <w:pPr>
              <w:pStyle w:val="29"/>
              <w:spacing w:line="320" w:lineRule="exact"/>
              <w:ind w:firstLine="0"/>
              <w:jc w:val="center"/>
              <w:rPr>
                <w:sz w:val="21"/>
                <w:szCs w:val="21"/>
              </w:rPr>
            </w:pPr>
            <w:r>
              <w:rPr>
                <w:sz w:val="21"/>
                <w:szCs w:val="21"/>
              </w:rPr>
              <w:t>农药</w:t>
            </w:r>
            <w:r>
              <w:rPr>
                <w:rFonts w:hint="eastAsia"/>
                <w:sz w:val="21"/>
                <w:szCs w:val="21"/>
              </w:rPr>
              <w:t>名称</w:t>
            </w:r>
          </w:p>
        </w:tc>
        <w:tc>
          <w:tcPr>
            <w:tcW w:w="1843" w:type="dxa"/>
            <w:vAlign w:val="center"/>
          </w:tcPr>
          <w:p w14:paraId="708311A7">
            <w:pPr>
              <w:pStyle w:val="29"/>
              <w:spacing w:line="320" w:lineRule="exact"/>
              <w:ind w:firstLine="0"/>
              <w:jc w:val="center"/>
              <w:rPr>
                <w:sz w:val="21"/>
                <w:szCs w:val="21"/>
              </w:rPr>
            </w:pPr>
            <w:r>
              <w:rPr>
                <w:sz w:val="21"/>
                <w:szCs w:val="21"/>
              </w:rPr>
              <w:t>使用剂量</w:t>
            </w:r>
          </w:p>
        </w:tc>
        <w:tc>
          <w:tcPr>
            <w:tcW w:w="709" w:type="dxa"/>
            <w:vAlign w:val="center"/>
          </w:tcPr>
          <w:p w14:paraId="60B92E65">
            <w:pPr>
              <w:pStyle w:val="29"/>
              <w:spacing w:line="320" w:lineRule="exact"/>
              <w:ind w:firstLine="0"/>
              <w:jc w:val="center"/>
              <w:rPr>
                <w:sz w:val="21"/>
                <w:szCs w:val="21"/>
              </w:rPr>
            </w:pPr>
            <w:r>
              <w:rPr>
                <w:sz w:val="21"/>
                <w:szCs w:val="21"/>
              </w:rPr>
              <w:t>施药方法</w:t>
            </w:r>
          </w:p>
        </w:tc>
        <w:tc>
          <w:tcPr>
            <w:tcW w:w="992" w:type="dxa"/>
            <w:vAlign w:val="center"/>
          </w:tcPr>
          <w:p w14:paraId="5DF92648">
            <w:pPr>
              <w:pStyle w:val="29"/>
              <w:spacing w:line="320" w:lineRule="exact"/>
              <w:ind w:firstLine="0"/>
              <w:jc w:val="center"/>
              <w:rPr>
                <w:sz w:val="21"/>
                <w:szCs w:val="21"/>
              </w:rPr>
            </w:pPr>
            <w:r>
              <w:rPr>
                <w:sz w:val="21"/>
                <w:szCs w:val="21"/>
              </w:rPr>
              <w:t>安全间隔</w:t>
            </w:r>
            <w:r>
              <w:rPr>
                <w:rFonts w:hint="eastAsia"/>
                <w:sz w:val="21"/>
                <w:szCs w:val="21"/>
              </w:rPr>
              <w:t>期</w:t>
            </w:r>
          </w:p>
        </w:tc>
      </w:tr>
      <w:tr w14:paraId="37BF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1560" w:type="dxa"/>
            <w:vMerge w:val="restart"/>
            <w:vAlign w:val="center"/>
          </w:tcPr>
          <w:p w14:paraId="3CDAFF04">
            <w:pPr>
              <w:pStyle w:val="29"/>
              <w:spacing w:line="320" w:lineRule="exact"/>
              <w:ind w:firstLine="0"/>
              <w:jc w:val="center"/>
              <w:rPr>
                <w:sz w:val="21"/>
                <w:szCs w:val="21"/>
              </w:rPr>
            </w:pPr>
            <w:r>
              <w:rPr>
                <w:sz w:val="21"/>
                <w:szCs w:val="21"/>
              </w:rPr>
              <w:t>柑橘全爪螨</w:t>
            </w:r>
          </w:p>
          <w:p w14:paraId="20DCC7B4">
            <w:pPr>
              <w:pStyle w:val="29"/>
              <w:spacing w:line="320" w:lineRule="exact"/>
              <w:ind w:firstLine="0"/>
              <w:jc w:val="center"/>
              <w:rPr>
                <w:sz w:val="21"/>
                <w:szCs w:val="21"/>
              </w:rPr>
            </w:pPr>
            <w:r>
              <w:rPr>
                <w:sz w:val="21"/>
                <w:szCs w:val="21"/>
              </w:rPr>
              <w:t>（红蜘蛛））</w:t>
            </w:r>
          </w:p>
        </w:tc>
        <w:tc>
          <w:tcPr>
            <w:tcW w:w="2693" w:type="dxa"/>
            <w:vAlign w:val="center"/>
          </w:tcPr>
          <w:p w14:paraId="5E6858D0">
            <w:pPr>
              <w:pStyle w:val="29"/>
              <w:spacing w:line="320" w:lineRule="exact"/>
              <w:ind w:firstLine="0"/>
              <w:jc w:val="center"/>
              <w:rPr>
                <w:sz w:val="21"/>
                <w:szCs w:val="21"/>
              </w:rPr>
            </w:pPr>
            <w:r>
              <w:rPr>
                <w:sz w:val="21"/>
                <w:szCs w:val="21"/>
              </w:rPr>
              <w:t>冬季清园</w:t>
            </w:r>
          </w:p>
        </w:tc>
        <w:tc>
          <w:tcPr>
            <w:tcW w:w="2835" w:type="dxa"/>
            <w:tcBorders>
              <w:bottom w:val="single" w:color="auto" w:sz="4" w:space="0"/>
            </w:tcBorders>
          </w:tcPr>
          <w:p w14:paraId="35C402FB">
            <w:pPr>
              <w:pStyle w:val="29"/>
              <w:spacing w:line="320" w:lineRule="exact"/>
              <w:jc w:val="center"/>
              <w:rPr>
                <w:sz w:val="21"/>
                <w:szCs w:val="21"/>
              </w:rPr>
            </w:pPr>
            <w:r>
              <w:rPr>
                <w:rFonts w:hint="eastAsia" w:hAnsi="宋体"/>
                <w:sz w:val="18"/>
                <w:szCs w:val="18"/>
              </w:rPr>
              <w:t>99%矿物油乳油</w:t>
            </w:r>
          </w:p>
        </w:tc>
        <w:tc>
          <w:tcPr>
            <w:tcW w:w="1843" w:type="dxa"/>
            <w:tcBorders>
              <w:bottom w:val="single" w:color="auto" w:sz="4" w:space="0"/>
            </w:tcBorders>
            <w:vAlign w:val="center"/>
          </w:tcPr>
          <w:p w14:paraId="2AAF9A16">
            <w:pPr>
              <w:pStyle w:val="29"/>
              <w:spacing w:line="320" w:lineRule="exact"/>
              <w:jc w:val="center"/>
              <w:rPr>
                <w:sz w:val="21"/>
                <w:szCs w:val="21"/>
              </w:rPr>
            </w:pPr>
            <w:r>
              <w:rPr>
                <w:rFonts w:hint="eastAsia"/>
                <w:sz w:val="21"/>
                <w:szCs w:val="21"/>
              </w:rPr>
              <w:t>150～300倍液</w:t>
            </w:r>
          </w:p>
        </w:tc>
        <w:tc>
          <w:tcPr>
            <w:tcW w:w="709" w:type="dxa"/>
            <w:tcBorders>
              <w:bottom w:val="single" w:color="auto" w:sz="4" w:space="0"/>
            </w:tcBorders>
            <w:vAlign w:val="center"/>
          </w:tcPr>
          <w:p w14:paraId="0E595BC8">
            <w:pPr>
              <w:pStyle w:val="29"/>
              <w:spacing w:line="320" w:lineRule="exact"/>
              <w:ind w:firstLine="0"/>
              <w:jc w:val="center"/>
              <w:rPr>
                <w:sz w:val="21"/>
                <w:szCs w:val="21"/>
              </w:rPr>
            </w:pPr>
            <w:r>
              <w:rPr>
                <w:rFonts w:hint="eastAsia"/>
                <w:sz w:val="21"/>
                <w:szCs w:val="21"/>
              </w:rPr>
              <w:t>喷雾</w:t>
            </w:r>
          </w:p>
        </w:tc>
        <w:tc>
          <w:tcPr>
            <w:tcW w:w="992" w:type="dxa"/>
            <w:tcBorders>
              <w:bottom w:val="single" w:color="auto" w:sz="4" w:space="0"/>
            </w:tcBorders>
            <w:vAlign w:val="center"/>
          </w:tcPr>
          <w:p w14:paraId="78B3E8FC">
            <w:pPr>
              <w:pStyle w:val="29"/>
              <w:spacing w:line="320" w:lineRule="exact"/>
              <w:jc w:val="center"/>
              <w:rPr>
                <w:sz w:val="21"/>
                <w:szCs w:val="21"/>
              </w:rPr>
            </w:pPr>
          </w:p>
        </w:tc>
      </w:tr>
      <w:tr w14:paraId="23AF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3E494BEB">
            <w:pPr>
              <w:pStyle w:val="29"/>
              <w:spacing w:line="320" w:lineRule="exact"/>
              <w:jc w:val="center"/>
              <w:rPr>
                <w:sz w:val="21"/>
                <w:szCs w:val="21"/>
              </w:rPr>
            </w:pPr>
          </w:p>
        </w:tc>
        <w:tc>
          <w:tcPr>
            <w:tcW w:w="2693" w:type="dxa"/>
            <w:vMerge w:val="restart"/>
            <w:tcBorders>
              <w:top w:val="single" w:color="auto" w:sz="4" w:space="0"/>
            </w:tcBorders>
            <w:vAlign w:val="center"/>
          </w:tcPr>
          <w:p w14:paraId="330D7775">
            <w:pPr>
              <w:pStyle w:val="29"/>
              <w:spacing w:line="320" w:lineRule="exact"/>
              <w:ind w:firstLine="0"/>
              <w:rPr>
                <w:szCs w:val="21"/>
              </w:rPr>
            </w:pPr>
            <w:r>
              <w:rPr>
                <w:sz w:val="21"/>
                <w:szCs w:val="21"/>
              </w:rPr>
              <w:t>花前1～2头/叶，花后和秋季5～6头/叶</w:t>
            </w:r>
            <w:r>
              <w:rPr>
                <w:rFonts w:hint="eastAsia"/>
                <w:sz w:val="21"/>
                <w:szCs w:val="21"/>
              </w:rPr>
              <w:t>。</w:t>
            </w:r>
          </w:p>
        </w:tc>
        <w:tc>
          <w:tcPr>
            <w:tcW w:w="2835" w:type="dxa"/>
            <w:vAlign w:val="center"/>
          </w:tcPr>
          <w:p w14:paraId="10310936">
            <w:pPr>
              <w:pStyle w:val="29"/>
              <w:spacing w:line="320" w:lineRule="exact"/>
              <w:ind w:firstLine="0"/>
              <w:jc w:val="center"/>
              <w:rPr>
                <w:rFonts w:ascii="黑体" w:hAnsi="黑体" w:eastAsia="黑体"/>
                <w:sz w:val="21"/>
                <w:szCs w:val="21"/>
              </w:rPr>
            </w:pPr>
            <w:r>
              <w:rPr>
                <w:rFonts w:hAnsi="宋体"/>
                <w:sz w:val="21"/>
                <w:szCs w:val="21"/>
              </w:rPr>
              <w:t>5%噻螨酮</w:t>
            </w:r>
            <w:r>
              <w:rPr>
                <w:rFonts w:hint="eastAsia" w:hAnsi="宋体"/>
                <w:sz w:val="21"/>
                <w:szCs w:val="21"/>
              </w:rPr>
              <w:t>可湿性粉剂</w:t>
            </w:r>
          </w:p>
        </w:tc>
        <w:tc>
          <w:tcPr>
            <w:tcW w:w="1843" w:type="dxa"/>
            <w:vAlign w:val="center"/>
          </w:tcPr>
          <w:p w14:paraId="7AEB06A5">
            <w:pPr>
              <w:pStyle w:val="29"/>
              <w:spacing w:line="320" w:lineRule="exact"/>
              <w:ind w:firstLine="0"/>
              <w:jc w:val="center"/>
              <w:rPr>
                <w:sz w:val="21"/>
                <w:szCs w:val="21"/>
              </w:rPr>
            </w:pPr>
            <w:r>
              <w:rPr>
                <w:rFonts w:hint="eastAsia"/>
                <w:sz w:val="21"/>
                <w:szCs w:val="21"/>
              </w:rPr>
              <w:t>1000</w:t>
            </w:r>
            <w:r>
              <w:rPr>
                <w:sz w:val="21"/>
                <w:szCs w:val="21"/>
              </w:rPr>
              <w:t>～2000倍液</w:t>
            </w:r>
          </w:p>
        </w:tc>
        <w:tc>
          <w:tcPr>
            <w:tcW w:w="709" w:type="dxa"/>
            <w:vAlign w:val="center"/>
          </w:tcPr>
          <w:p w14:paraId="6504A5C1">
            <w:pPr>
              <w:pStyle w:val="29"/>
              <w:spacing w:line="320" w:lineRule="exact"/>
              <w:ind w:firstLine="0"/>
              <w:jc w:val="center"/>
              <w:rPr>
                <w:sz w:val="21"/>
                <w:szCs w:val="21"/>
              </w:rPr>
            </w:pPr>
            <w:r>
              <w:rPr>
                <w:sz w:val="21"/>
                <w:szCs w:val="21"/>
              </w:rPr>
              <w:t>喷雾</w:t>
            </w:r>
          </w:p>
        </w:tc>
        <w:tc>
          <w:tcPr>
            <w:tcW w:w="992" w:type="dxa"/>
            <w:vAlign w:val="center"/>
          </w:tcPr>
          <w:p w14:paraId="4FDE08C3">
            <w:pPr>
              <w:pStyle w:val="29"/>
              <w:spacing w:line="320" w:lineRule="exact"/>
              <w:ind w:firstLine="0"/>
              <w:jc w:val="center"/>
              <w:rPr>
                <w:sz w:val="21"/>
                <w:szCs w:val="21"/>
              </w:rPr>
            </w:pPr>
            <w:r>
              <w:rPr>
                <w:rFonts w:hint="eastAsia"/>
                <w:sz w:val="21"/>
                <w:szCs w:val="21"/>
              </w:rPr>
              <w:t>30</w:t>
            </w:r>
          </w:p>
        </w:tc>
      </w:tr>
      <w:tr w14:paraId="28C21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42711654">
            <w:pPr>
              <w:pStyle w:val="29"/>
              <w:spacing w:line="320" w:lineRule="exact"/>
              <w:jc w:val="center"/>
              <w:rPr>
                <w:sz w:val="21"/>
                <w:szCs w:val="21"/>
              </w:rPr>
            </w:pPr>
          </w:p>
        </w:tc>
        <w:tc>
          <w:tcPr>
            <w:tcW w:w="2693" w:type="dxa"/>
            <w:vMerge w:val="continue"/>
          </w:tcPr>
          <w:p w14:paraId="75B27AA9">
            <w:pPr>
              <w:pStyle w:val="29"/>
              <w:spacing w:line="320" w:lineRule="exact"/>
              <w:ind w:firstLine="0"/>
              <w:jc w:val="center"/>
              <w:rPr>
                <w:sz w:val="21"/>
                <w:szCs w:val="21"/>
              </w:rPr>
            </w:pPr>
          </w:p>
        </w:tc>
        <w:tc>
          <w:tcPr>
            <w:tcW w:w="2835" w:type="dxa"/>
            <w:vAlign w:val="center"/>
          </w:tcPr>
          <w:p w14:paraId="581A33C5">
            <w:pPr>
              <w:pStyle w:val="29"/>
              <w:spacing w:line="320" w:lineRule="exact"/>
              <w:ind w:firstLine="0"/>
              <w:jc w:val="center"/>
              <w:rPr>
                <w:rFonts w:ascii="黑体" w:hAnsi="黑体" w:eastAsia="黑体"/>
                <w:sz w:val="21"/>
                <w:szCs w:val="21"/>
              </w:rPr>
            </w:pPr>
            <w:r>
              <w:rPr>
                <w:rFonts w:hAnsi="宋体"/>
                <w:sz w:val="21"/>
                <w:szCs w:val="21"/>
              </w:rPr>
              <w:t>43%联苯肼酯</w:t>
            </w:r>
            <w:r>
              <w:rPr>
                <w:rFonts w:hint="eastAsia" w:hAnsi="宋体"/>
                <w:sz w:val="21"/>
                <w:szCs w:val="21"/>
              </w:rPr>
              <w:t>悬浮剂</w:t>
            </w:r>
          </w:p>
        </w:tc>
        <w:tc>
          <w:tcPr>
            <w:tcW w:w="1843" w:type="dxa"/>
            <w:vAlign w:val="center"/>
          </w:tcPr>
          <w:p w14:paraId="02030D83">
            <w:pPr>
              <w:pStyle w:val="29"/>
              <w:spacing w:line="320" w:lineRule="exact"/>
              <w:ind w:firstLine="0"/>
              <w:jc w:val="center"/>
              <w:rPr>
                <w:sz w:val="21"/>
                <w:szCs w:val="21"/>
              </w:rPr>
            </w:pPr>
            <w:r>
              <w:rPr>
                <w:sz w:val="21"/>
                <w:szCs w:val="21"/>
              </w:rPr>
              <w:t>1800～2</w:t>
            </w:r>
            <w:r>
              <w:rPr>
                <w:rFonts w:hint="eastAsia"/>
                <w:sz w:val="21"/>
                <w:szCs w:val="21"/>
              </w:rPr>
              <w:t>4</w:t>
            </w:r>
            <w:r>
              <w:rPr>
                <w:sz w:val="21"/>
                <w:szCs w:val="21"/>
              </w:rPr>
              <w:t>00倍液</w:t>
            </w:r>
          </w:p>
        </w:tc>
        <w:tc>
          <w:tcPr>
            <w:tcW w:w="709" w:type="dxa"/>
            <w:vAlign w:val="center"/>
          </w:tcPr>
          <w:p w14:paraId="36A4F780">
            <w:pPr>
              <w:pStyle w:val="29"/>
              <w:spacing w:line="320" w:lineRule="exact"/>
              <w:ind w:firstLine="0"/>
              <w:jc w:val="center"/>
              <w:rPr>
                <w:sz w:val="21"/>
                <w:szCs w:val="21"/>
              </w:rPr>
            </w:pPr>
            <w:r>
              <w:rPr>
                <w:sz w:val="21"/>
                <w:szCs w:val="21"/>
              </w:rPr>
              <w:t>喷雾</w:t>
            </w:r>
          </w:p>
        </w:tc>
        <w:tc>
          <w:tcPr>
            <w:tcW w:w="992" w:type="dxa"/>
            <w:vAlign w:val="center"/>
          </w:tcPr>
          <w:p w14:paraId="3CA1C563">
            <w:pPr>
              <w:pStyle w:val="29"/>
              <w:spacing w:line="320" w:lineRule="exact"/>
              <w:ind w:firstLine="0"/>
              <w:jc w:val="center"/>
              <w:rPr>
                <w:sz w:val="21"/>
                <w:szCs w:val="21"/>
              </w:rPr>
            </w:pPr>
            <w:r>
              <w:rPr>
                <w:rFonts w:hint="eastAsia"/>
                <w:sz w:val="21"/>
                <w:szCs w:val="21"/>
              </w:rPr>
              <w:t>30</w:t>
            </w:r>
          </w:p>
        </w:tc>
      </w:tr>
      <w:tr w14:paraId="4643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2EE8856F">
            <w:pPr>
              <w:pStyle w:val="29"/>
              <w:spacing w:line="320" w:lineRule="exact"/>
              <w:jc w:val="center"/>
              <w:rPr>
                <w:sz w:val="21"/>
                <w:szCs w:val="21"/>
              </w:rPr>
            </w:pPr>
          </w:p>
        </w:tc>
        <w:tc>
          <w:tcPr>
            <w:tcW w:w="2693" w:type="dxa"/>
            <w:vMerge w:val="continue"/>
          </w:tcPr>
          <w:p w14:paraId="73B2700B">
            <w:pPr>
              <w:pStyle w:val="29"/>
              <w:spacing w:line="320" w:lineRule="exact"/>
              <w:jc w:val="center"/>
              <w:rPr>
                <w:sz w:val="21"/>
                <w:szCs w:val="21"/>
              </w:rPr>
            </w:pPr>
          </w:p>
        </w:tc>
        <w:tc>
          <w:tcPr>
            <w:tcW w:w="2835" w:type="dxa"/>
            <w:vAlign w:val="center"/>
          </w:tcPr>
          <w:p w14:paraId="5487D1ED">
            <w:pPr>
              <w:snapToGrid w:val="0"/>
              <w:spacing w:line="300" w:lineRule="exact"/>
              <w:jc w:val="center"/>
              <w:rPr>
                <w:rFonts w:ascii="黑体" w:hAnsi="黑体" w:eastAsia="黑体"/>
                <w:szCs w:val="21"/>
              </w:rPr>
            </w:pPr>
            <w:r>
              <w:rPr>
                <w:rFonts w:ascii="宋体" w:hAnsi="宋体"/>
                <w:kern w:val="0"/>
                <w:szCs w:val="21"/>
              </w:rPr>
              <w:t>24%螺螨酯</w:t>
            </w:r>
            <w:r>
              <w:rPr>
                <w:rFonts w:hint="eastAsia" w:hAnsi="宋体"/>
                <w:szCs w:val="21"/>
              </w:rPr>
              <w:t>悬浮剂</w:t>
            </w:r>
          </w:p>
        </w:tc>
        <w:tc>
          <w:tcPr>
            <w:tcW w:w="1843" w:type="dxa"/>
            <w:vAlign w:val="center"/>
          </w:tcPr>
          <w:p w14:paraId="05C98274">
            <w:pPr>
              <w:pStyle w:val="29"/>
              <w:spacing w:line="320" w:lineRule="exact"/>
              <w:ind w:firstLine="0"/>
              <w:jc w:val="center"/>
              <w:rPr>
                <w:sz w:val="21"/>
                <w:szCs w:val="21"/>
              </w:rPr>
            </w:pPr>
            <w:r>
              <w:rPr>
                <w:sz w:val="21"/>
                <w:szCs w:val="21"/>
              </w:rPr>
              <w:t>4000～</w:t>
            </w:r>
            <w:r>
              <w:rPr>
                <w:rFonts w:hint="eastAsia"/>
                <w:sz w:val="21"/>
                <w:szCs w:val="21"/>
              </w:rPr>
              <w:t>6</w:t>
            </w:r>
            <w:r>
              <w:rPr>
                <w:sz w:val="21"/>
                <w:szCs w:val="21"/>
              </w:rPr>
              <w:t>000倍液</w:t>
            </w:r>
          </w:p>
        </w:tc>
        <w:tc>
          <w:tcPr>
            <w:tcW w:w="709" w:type="dxa"/>
            <w:vAlign w:val="center"/>
          </w:tcPr>
          <w:p w14:paraId="5374FDDA">
            <w:pPr>
              <w:pStyle w:val="29"/>
              <w:spacing w:line="320" w:lineRule="exact"/>
              <w:ind w:firstLine="0"/>
              <w:jc w:val="center"/>
              <w:rPr>
                <w:sz w:val="21"/>
                <w:szCs w:val="21"/>
              </w:rPr>
            </w:pPr>
            <w:r>
              <w:rPr>
                <w:sz w:val="21"/>
                <w:szCs w:val="21"/>
              </w:rPr>
              <w:t>喷雾</w:t>
            </w:r>
          </w:p>
        </w:tc>
        <w:tc>
          <w:tcPr>
            <w:tcW w:w="992" w:type="dxa"/>
            <w:vAlign w:val="center"/>
          </w:tcPr>
          <w:p w14:paraId="701D0310">
            <w:pPr>
              <w:pStyle w:val="29"/>
              <w:spacing w:line="320" w:lineRule="exact"/>
              <w:ind w:firstLine="0"/>
              <w:jc w:val="center"/>
              <w:rPr>
                <w:sz w:val="21"/>
                <w:szCs w:val="21"/>
              </w:rPr>
            </w:pPr>
            <w:r>
              <w:rPr>
                <w:rFonts w:hint="eastAsia"/>
                <w:sz w:val="21"/>
                <w:szCs w:val="21"/>
              </w:rPr>
              <w:t>21</w:t>
            </w:r>
          </w:p>
        </w:tc>
      </w:tr>
      <w:tr w14:paraId="2095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bottom w:val="single" w:color="auto" w:sz="4" w:space="0"/>
            </w:tcBorders>
            <w:vAlign w:val="center"/>
          </w:tcPr>
          <w:p w14:paraId="2B0E7CD7">
            <w:pPr>
              <w:pStyle w:val="29"/>
              <w:spacing w:line="320" w:lineRule="exact"/>
              <w:ind w:firstLine="0"/>
              <w:jc w:val="center"/>
              <w:rPr>
                <w:sz w:val="21"/>
                <w:szCs w:val="21"/>
              </w:rPr>
            </w:pPr>
          </w:p>
        </w:tc>
        <w:tc>
          <w:tcPr>
            <w:tcW w:w="2693" w:type="dxa"/>
            <w:vMerge w:val="continue"/>
            <w:tcBorders>
              <w:bottom w:val="single" w:color="auto" w:sz="4" w:space="0"/>
            </w:tcBorders>
          </w:tcPr>
          <w:p w14:paraId="34941607">
            <w:pPr>
              <w:pStyle w:val="29"/>
              <w:spacing w:line="320" w:lineRule="exact"/>
              <w:ind w:firstLine="0"/>
              <w:jc w:val="center"/>
              <w:rPr>
                <w:sz w:val="21"/>
                <w:szCs w:val="21"/>
              </w:rPr>
            </w:pPr>
          </w:p>
        </w:tc>
        <w:tc>
          <w:tcPr>
            <w:tcW w:w="2835" w:type="dxa"/>
            <w:vAlign w:val="center"/>
          </w:tcPr>
          <w:p w14:paraId="7D015001">
            <w:pPr>
              <w:pStyle w:val="29"/>
              <w:spacing w:line="320" w:lineRule="exact"/>
              <w:jc w:val="center"/>
              <w:rPr>
                <w:rFonts w:hAnsi="宋体"/>
                <w:sz w:val="21"/>
                <w:szCs w:val="21"/>
              </w:rPr>
            </w:pPr>
            <w:r>
              <w:rPr>
                <w:rFonts w:hint="eastAsia" w:hAnsi="宋体"/>
                <w:sz w:val="21"/>
                <w:szCs w:val="21"/>
              </w:rPr>
              <w:t>30%乙螨唑悬浮剂</w:t>
            </w:r>
          </w:p>
        </w:tc>
        <w:tc>
          <w:tcPr>
            <w:tcW w:w="1843" w:type="dxa"/>
            <w:vAlign w:val="center"/>
          </w:tcPr>
          <w:p w14:paraId="4BAE929F">
            <w:pPr>
              <w:pStyle w:val="29"/>
              <w:spacing w:line="320" w:lineRule="exact"/>
              <w:ind w:firstLine="0"/>
              <w:jc w:val="center"/>
              <w:rPr>
                <w:sz w:val="21"/>
                <w:szCs w:val="21"/>
              </w:rPr>
            </w:pPr>
            <w:r>
              <w:rPr>
                <w:rFonts w:hint="eastAsia" w:ascii="微软雅黑" w:hAnsi="微软雅黑" w:eastAsia="微软雅黑"/>
                <w:sz w:val="17"/>
                <w:szCs w:val="17"/>
              </w:rPr>
              <w:t>10000～14000倍液</w:t>
            </w:r>
          </w:p>
        </w:tc>
        <w:tc>
          <w:tcPr>
            <w:tcW w:w="709" w:type="dxa"/>
            <w:vAlign w:val="center"/>
          </w:tcPr>
          <w:p w14:paraId="35EBCD9E">
            <w:pPr>
              <w:pStyle w:val="29"/>
              <w:spacing w:line="320" w:lineRule="exact"/>
              <w:ind w:firstLine="0"/>
              <w:jc w:val="center"/>
              <w:rPr>
                <w:sz w:val="21"/>
                <w:szCs w:val="21"/>
              </w:rPr>
            </w:pPr>
            <w:r>
              <w:rPr>
                <w:sz w:val="21"/>
                <w:szCs w:val="21"/>
              </w:rPr>
              <w:t>喷雾</w:t>
            </w:r>
          </w:p>
        </w:tc>
        <w:tc>
          <w:tcPr>
            <w:tcW w:w="992" w:type="dxa"/>
            <w:vAlign w:val="center"/>
          </w:tcPr>
          <w:p w14:paraId="4F317AFA">
            <w:pPr>
              <w:pStyle w:val="29"/>
              <w:spacing w:line="320" w:lineRule="exact"/>
              <w:ind w:firstLine="0"/>
              <w:jc w:val="center"/>
              <w:rPr>
                <w:sz w:val="21"/>
                <w:szCs w:val="21"/>
              </w:rPr>
            </w:pPr>
            <w:r>
              <w:rPr>
                <w:rFonts w:hint="eastAsia"/>
                <w:sz w:val="21"/>
                <w:szCs w:val="21"/>
              </w:rPr>
              <w:t>28</w:t>
            </w:r>
          </w:p>
        </w:tc>
      </w:tr>
      <w:tr w14:paraId="7E026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560" w:type="dxa"/>
            <w:vMerge w:val="restart"/>
            <w:tcBorders>
              <w:top w:val="single" w:color="auto" w:sz="4" w:space="0"/>
            </w:tcBorders>
            <w:vAlign w:val="center"/>
          </w:tcPr>
          <w:p w14:paraId="27F7C02D">
            <w:pPr>
              <w:pStyle w:val="29"/>
              <w:spacing w:line="320" w:lineRule="exact"/>
              <w:jc w:val="center"/>
              <w:rPr>
                <w:sz w:val="21"/>
                <w:szCs w:val="21"/>
              </w:rPr>
            </w:pPr>
            <w:r>
              <w:rPr>
                <w:sz w:val="21"/>
                <w:szCs w:val="21"/>
              </w:rPr>
              <w:t>锈壁虱</w:t>
            </w:r>
          </w:p>
        </w:tc>
        <w:tc>
          <w:tcPr>
            <w:tcW w:w="2693" w:type="dxa"/>
            <w:vMerge w:val="restart"/>
            <w:tcBorders>
              <w:top w:val="single" w:color="auto" w:sz="4" w:space="0"/>
            </w:tcBorders>
          </w:tcPr>
          <w:p w14:paraId="7CD1D3A2">
            <w:pPr>
              <w:pStyle w:val="29"/>
              <w:spacing w:line="320" w:lineRule="exact"/>
              <w:rPr>
                <w:sz w:val="21"/>
                <w:szCs w:val="21"/>
              </w:rPr>
            </w:pPr>
            <w:r>
              <w:rPr>
                <w:sz w:val="21"/>
                <w:szCs w:val="21"/>
              </w:rPr>
              <w:t>叶上或果上2～3头/视野；当年春梢叶背出现被害状；果园中发现一个果出现被害状。</w:t>
            </w:r>
          </w:p>
        </w:tc>
        <w:tc>
          <w:tcPr>
            <w:tcW w:w="2835" w:type="dxa"/>
            <w:tcBorders>
              <w:bottom w:val="single" w:color="auto" w:sz="4" w:space="0"/>
            </w:tcBorders>
            <w:vAlign w:val="center"/>
          </w:tcPr>
          <w:p w14:paraId="68A86BAD">
            <w:pPr>
              <w:pStyle w:val="29"/>
              <w:spacing w:line="320" w:lineRule="exact"/>
              <w:ind w:firstLine="0"/>
              <w:jc w:val="center"/>
              <w:rPr>
                <w:rFonts w:hAnsi="宋体"/>
                <w:sz w:val="21"/>
                <w:szCs w:val="21"/>
              </w:rPr>
            </w:pPr>
            <w:r>
              <w:rPr>
                <w:rFonts w:hAnsi="宋体"/>
                <w:sz w:val="21"/>
                <w:szCs w:val="21"/>
              </w:rPr>
              <w:t>5%唑螨酯悬浮剂</w:t>
            </w:r>
          </w:p>
        </w:tc>
        <w:tc>
          <w:tcPr>
            <w:tcW w:w="1843" w:type="dxa"/>
            <w:tcBorders>
              <w:bottom w:val="single" w:color="auto" w:sz="4" w:space="0"/>
            </w:tcBorders>
            <w:vAlign w:val="center"/>
          </w:tcPr>
          <w:p w14:paraId="6997D97F">
            <w:pPr>
              <w:pStyle w:val="29"/>
              <w:spacing w:line="320" w:lineRule="exact"/>
              <w:ind w:firstLine="0"/>
              <w:jc w:val="center"/>
              <w:rPr>
                <w:rFonts w:hAnsi="宋体"/>
                <w:sz w:val="21"/>
                <w:szCs w:val="21"/>
              </w:rPr>
            </w:pPr>
            <w:r>
              <w:rPr>
                <w:rFonts w:hAnsi="宋体"/>
                <w:sz w:val="21"/>
                <w:szCs w:val="21"/>
              </w:rPr>
              <w:t>1000～</w:t>
            </w:r>
            <w:r>
              <w:rPr>
                <w:rFonts w:hint="eastAsia" w:hAnsi="宋体"/>
                <w:sz w:val="21"/>
                <w:szCs w:val="21"/>
              </w:rPr>
              <w:t>2000</w:t>
            </w:r>
            <w:r>
              <w:rPr>
                <w:rFonts w:hAnsi="宋体"/>
                <w:sz w:val="21"/>
                <w:szCs w:val="21"/>
              </w:rPr>
              <w:t>倍液</w:t>
            </w:r>
          </w:p>
        </w:tc>
        <w:tc>
          <w:tcPr>
            <w:tcW w:w="709" w:type="dxa"/>
            <w:tcBorders>
              <w:bottom w:val="single" w:color="auto" w:sz="4" w:space="0"/>
            </w:tcBorders>
            <w:vAlign w:val="center"/>
          </w:tcPr>
          <w:p w14:paraId="5C683D9E">
            <w:pPr>
              <w:pStyle w:val="29"/>
              <w:spacing w:line="320" w:lineRule="exact"/>
              <w:ind w:firstLine="0"/>
              <w:jc w:val="center"/>
              <w:rPr>
                <w:rFonts w:hAnsi="宋体"/>
                <w:sz w:val="21"/>
                <w:szCs w:val="21"/>
              </w:rPr>
            </w:pPr>
            <w:r>
              <w:rPr>
                <w:rFonts w:hAnsi="宋体"/>
                <w:sz w:val="21"/>
                <w:szCs w:val="21"/>
              </w:rPr>
              <w:t>喷雾</w:t>
            </w:r>
          </w:p>
        </w:tc>
        <w:tc>
          <w:tcPr>
            <w:tcW w:w="992" w:type="dxa"/>
            <w:tcBorders>
              <w:bottom w:val="single" w:color="auto" w:sz="4" w:space="0"/>
            </w:tcBorders>
            <w:vAlign w:val="center"/>
          </w:tcPr>
          <w:p w14:paraId="6C5A0611">
            <w:pPr>
              <w:pStyle w:val="29"/>
              <w:spacing w:line="320" w:lineRule="exact"/>
              <w:ind w:firstLine="0"/>
              <w:jc w:val="center"/>
              <w:rPr>
                <w:rFonts w:hAnsi="宋体"/>
                <w:sz w:val="21"/>
                <w:szCs w:val="21"/>
              </w:rPr>
            </w:pPr>
            <w:r>
              <w:rPr>
                <w:rFonts w:hint="eastAsia" w:hAnsi="宋体"/>
                <w:sz w:val="21"/>
                <w:szCs w:val="21"/>
              </w:rPr>
              <w:t>15</w:t>
            </w:r>
          </w:p>
        </w:tc>
      </w:tr>
      <w:tr w14:paraId="022CD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60" w:type="dxa"/>
            <w:vMerge w:val="continue"/>
            <w:vAlign w:val="center"/>
          </w:tcPr>
          <w:p w14:paraId="75DF9AE4">
            <w:pPr>
              <w:pStyle w:val="29"/>
              <w:spacing w:line="320" w:lineRule="exact"/>
              <w:jc w:val="center"/>
              <w:rPr>
                <w:sz w:val="21"/>
                <w:szCs w:val="21"/>
              </w:rPr>
            </w:pPr>
          </w:p>
        </w:tc>
        <w:tc>
          <w:tcPr>
            <w:tcW w:w="2693" w:type="dxa"/>
            <w:vMerge w:val="continue"/>
          </w:tcPr>
          <w:p w14:paraId="38847066">
            <w:pPr>
              <w:pStyle w:val="29"/>
              <w:spacing w:line="320" w:lineRule="exact"/>
              <w:rPr>
                <w:sz w:val="21"/>
                <w:szCs w:val="21"/>
              </w:rPr>
            </w:pPr>
          </w:p>
        </w:tc>
        <w:tc>
          <w:tcPr>
            <w:tcW w:w="2835" w:type="dxa"/>
            <w:tcBorders>
              <w:top w:val="single" w:color="auto" w:sz="4" w:space="0"/>
            </w:tcBorders>
            <w:vAlign w:val="center"/>
          </w:tcPr>
          <w:p w14:paraId="4816FC71">
            <w:pPr>
              <w:pStyle w:val="29"/>
              <w:spacing w:line="320" w:lineRule="exact"/>
              <w:jc w:val="center"/>
              <w:rPr>
                <w:rFonts w:hAnsi="宋体"/>
                <w:sz w:val="21"/>
                <w:szCs w:val="21"/>
              </w:rPr>
            </w:pPr>
            <w:r>
              <w:rPr>
                <w:rFonts w:hint="eastAsia" w:hAnsi="宋体"/>
                <w:sz w:val="21"/>
                <w:szCs w:val="21"/>
              </w:rPr>
              <w:t>5%虱螨脲</w:t>
            </w:r>
            <w:r>
              <w:rPr>
                <w:rFonts w:hAnsi="宋体" w:cs="Helvetica"/>
                <w:sz w:val="21"/>
                <w:szCs w:val="21"/>
              </w:rPr>
              <w:t>悬浮剂</w:t>
            </w:r>
          </w:p>
        </w:tc>
        <w:tc>
          <w:tcPr>
            <w:tcW w:w="1843" w:type="dxa"/>
            <w:tcBorders>
              <w:top w:val="single" w:color="auto" w:sz="4" w:space="0"/>
            </w:tcBorders>
            <w:vAlign w:val="center"/>
          </w:tcPr>
          <w:p w14:paraId="061ABDD2">
            <w:pPr>
              <w:pStyle w:val="29"/>
              <w:spacing w:line="320" w:lineRule="exact"/>
              <w:ind w:firstLine="0"/>
              <w:rPr>
                <w:rFonts w:hAnsi="宋体"/>
                <w:sz w:val="21"/>
                <w:szCs w:val="21"/>
              </w:rPr>
            </w:pPr>
            <w:r>
              <w:rPr>
                <w:rFonts w:hint="eastAsia"/>
                <w:sz w:val="21"/>
                <w:szCs w:val="21"/>
              </w:rPr>
              <w:t>2000～2500倍液</w:t>
            </w:r>
          </w:p>
        </w:tc>
        <w:tc>
          <w:tcPr>
            <w:tcW w:w="709" w:type="dxa"/>
            <w:tcBorders>
              <w:top w:val="single" w:color="auto" w:sz="4" w:space="0"/>
            </w:tcBorders>
            <w:vAlign w:val="center"/>
          </w:tcPr>
          <w:p w14:paraId="3CE1F435">
            <w:pPr>
              <w:pStyle w:val="29"/>
              <w:spacing w:line="320" w:lineRule="exact"/>
              <w:jc w:val="center"/>
              <w:rPr>
                <w:rFonts w:hAnsi="宋体"/>
                <w:sz w:val="21"/>
                <w:szCs w:val="21"/>
              </w:rPr>
            </w:pPr>
            <w:r>
              <w:rPr>
                <w:rFonts w:hint="eastAsia"/>
                <w:sz w:val="21"/>
                <w:szCs w:val="21"/>
              </w:rPr>
              <w:t>喷雾</w:t>
            </w:r>
          </w:p>
        </w:tc>
        <w:tc>
          <w:tcPr>
            <w:tcW w:w="992" w:type="dxa"/>
            <w:tcBorders>
              <w:top w:val="single" w:color="auto" w:sz="4" w:space="0"/>
            </w:tcBorders>
            <w:vAlign w:val="center"/>
          </w:tcPr>
          <w:p w14:paraId="2061721A">
            <w:pPr>
              <w:pStyle w:val="29"/>
              <w:spacing w:line="320" w:lineRule="exact"/>
              <w:jc w:val="center"/>
              <w:rPr>
                <w:rFonts w:hAnsi="宋体"/>
                <w:sz w:val="21"/>
                <w:szCs w:val="21"/>
              </w:rPr>
            </w:pPr>
            <w:r>
              <w:rPr>
                <w:rFonts w:hint="eastAsia"/>
                <w:sz w:val="21"/>
                <w:szCs w:val="21"/>
              </w:rPr>
              <w:t>23</w:t>
            </w:r>
          </w:p>
        </w:tc>
      </w:tr>
      <w:tr w14:paraId="50E6C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restart"/>
            <w:vAlign w:val="center"/>
          </w:tcPr>
          <w:p w14:paraId="2A82CCE5">
            <w:pPr>
              <w:pStyle w:val="29"/>
              <w:spacing w:line="320" w:lineRule="exact"/>
              <w:ind w:firstLine="0"/>
              <w:jc w:val="center"/>
              <w:rPr>
                <w:sz w:val="21"/>
                <w:szCs w:val="21"/>
              </w:rPr>
            </w:pPr>
            <w:r>
              <w:rPr>
                <w:sz w:val="21"/>
                <w:szCs w:val="21"/>
              </w:rPr>
              <w:t>蚜虫</w:t>
            </w:r>
          </w:p>
        </w:tc>
        <w:tc>
          <w:tcPr>
            <w:tcW w:w="2693" w:type="dxa"/>
            <w:vMerge w:val="restart"/>
            <w:vAlign w:val="center"/>
          </w:tcPr>
          <w:p w14:paraId="16105DBF">
            <w:pPr>
              <w:pStyle w:val="29"/>
              <w:spacing w:line="320" w:lineRule="exact"/>
              <w:ind w:firstLine="0"/>
              <w:jc w:val="center"/>
              <w:rPr>
                <w:sz w:val="21"/>
                <w:szCs w:val="21"/>
              </w:rPr>
            </w:pPr>
            <w:r>
              <w:rPr>
                <w:sz w:val="21"/>
                <w:szCs w:val="21"/>
              </w:rPr>
              <w:t>新梢有蚜率25%左右</w:t>
            </w:r>
          </w:p>
        </w:tc>
        <w:tc>
          <w:tcPr>
            <w:tcW w:w="2835" w:type="dxa"/>
            <w:vAlign w:val="center"/>
          </w:tcPr>
          <w:p w14:paraId="336E546C">
            <w:pPr>
              <w:snapToGrid w:val="0"/>
              <w:spacing w:line="300" w:lineRule="exact"/>
              <w:jc w:val="center"/>
              <w:rPr>
                <w:rFonts w:ascii="宋体"/>
                <w:kern w:val="0"/>
                <w:szCs w:val="21"/>
              </w:rPr>
            </w:pPr>
            <w:r>
              <w:rPr>
                <w:rFonts w:ascii="宋体"/>
                <w:kern w:val="0"/>
                <w:szCs w:val="21"/>
              </w:rPr>
              <w:t>10%吡虫啉可湿性粉剂</w:t>
            </w:r>
          </w:p>
        </w:tc>
        <w:tc>
          <w:tcPr>
            <w:tcW w:w="1843" w:type="dxa"/>
          </w:tcPr>
          <w:p w14:paraId="5B11EE17">
            <w:pPr>
              <w:pStyle w:val="29"/>
              <w:spacing w:line="320" w:lineRule="exact"/>
              <w:ind w:firstLine="0"/>
              <w:jc w:val="center"/>
              <w:rPr>
                <w:sz w:val="21"/>
                <w:szCs w:val="21"/>
              </w:rPr>
            </w:pPr>
            <w:r>
              <w:rPr>
                <w:rFonts w:hint="eastAsia"/>
                <w:sz w:val="21"/>
                <w:szCs w:val="21"/>
              </w:rPr>
              <w:t>30</w:t>
            </w:r>
            <w:r>
              <w:rPr>
                <w:sz w:val="21"/>
                <w:szCs w:val="21"/>
              </w:rPr>
              <w:t>00～</w:t>
            </w:r>
            <w:r>
              <w:rPr>
                <w:rFonts w:hint="eastAsia"/>
                <w:sz w:val="21"/>
                <w:szCs w:val="21"/>
              </w:rPr>
              <w:t>5</w:t>
            </w:r>
            <w:r>
              <w:rPr>
                <w:sz w:val="21"/>
                <w:szCs w:val="21"/>
              </w:rPr>
              <w:t>000倍液</w:t>
            </w:r>
          </w:p>
        </w:tc>
        <w:tc>
          <w:tcPr>
            <w:tcW w:w="709" w:type="dxa"/>
          </w:tcPr>
          <w:p w14:paraId="3F751F61">
            <w:pPr>
              <w:pStyle w:val="29"/>
              <w:spacing w:line="320" w:lineRule="exact"/>
              <w:ind w:firstLine="0"/>
              <w:jc w:val="center"/>
              <w:rPr>
                <w:sz w:val="21"/>
                <w:szCs w:val="21"/>
              </w:rPr>
            </w:pPr>
            <w:r>
              <w:rPr>
                <w:sz w:val="21"/>
                <w:szCs w:val="21"/>
              </w:rPr>
              <w:t>喷雾</w:t>
            </w:r>
          </w:p>
        </w:tc>
        <w:tc>
          <w:tcPr>
            <w:tcW w:w="992" w:type="dxa"/>
          </w:tcPr>
          <w:p w14:paraId="4ED82E2D">
            <w:pPr>
              <w:pStyle w:val="29"/>
              <w:spacing w:line="320" w:lineRule="exact"/>
              <w:ind w:firstLine="0"/>
              <w:jc w:val="center"/>
              <w:rPr>
                <w:sz w:val="21"/>
                <w:szCs w:val="21"/>
              </w:rPr>
            </w:pPr>
            <w:r>
              <w:rPr>
                <w:rFonts w:hint="eastAsia"/>
                <w:sz w:val="21"/>
                <w:szCs w:val="21"/>
              </w:rPr>
              <w:t>14</w:t>
            </w:r>
          </w:p>
        </w:tc>
      </w:tr>
      <w:tr w14:paraId="68D2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bottom w:val="single" w:color="auto" w:sz="4" w:space="0"/>
            </w:tcBorders>
            <w:vAlign w:val="center"/>
          </w:tcPr>
          <w:p w14:paraId="67853E47">
            <w:pPr>
              <w:pStyle w:val="29"/>
              <w:spacing w:line="320" w:lineRule="exact"/>
              <w:ind w:firstLine="0"/>
              <w:jc w:val="center"/>
              <w:rPr>
                <w:sz w:val="21"/>
                <w:szCs w:val="21"/>
              </w:rPr>
            </w:pPr>
          </w:p>
        </w:tc>
        <w:tc>
          <w:tcPr>
            <w:tcW w:w="2693" w:type="dxa"/>
            <w:vMerge w:val="continue"/>
            <w:tcBorders>
              <w:bottom w:val="single" w:color="auto" w:sz="4" w:space="0"/>
            </w:tcBorders>
          </w:tcPr>
          <w:p w14:paraId="435505BE">
            <w:pPr>
              <w:pStyle w:val="29"/>
              <w:spacing w:line="320" w:lineRule="exact"/>
              <w:ind w:firstLine="0"/>
              <w:jc w:val="center"/>
              <w:rPr>
                <w:sz w:val="21"/>
                <w:szCs w:val="21"/>
              </w:rPr>
            </w:pPr>
          </w:p>
        </w:tc>
        <w:tc>
          <w:tcPr>
            <w:tcW w:w="2835" w:type="dxa"/>
            <w:tcBorders>
              <w:bottom w:val="single" w:color="auto" w:sz="4" w:space="0"/>
            </w:tcBorders>
            <w:vAlign w:val="center"/>
          </w:tcPr>
          <w:p w14:paraId="1A8639F4">
            <w:pPr>
              <w:pStyle w:val="29"/>
              <w:spacing w:line="320" w:lineRule="exact"/>
              <w:ind w:firstLine="0"/>
              <w:jc w:val="center"/>
              <w:rPr>
                <w:sz w:val="21"/>
                <w:szCs w:val="21"/>
              </w:rPr>
            </w:pPr>
            <w:r>
              <w:rPr>
                <w:rFonts w:hint="eastAsia"/>
                <w:sz w:val="21"/>
                <w:szCs w:val="21"/>
              </w:rPr>
              <w:t>1.5</w:t>
            </w:r>
            <w:r>
              <w:rPr>
                <w:sz w:val="21"/>
                <w:szCs w:val="21"/>
              </w:rPr>
              <w:t>%苦参碱水剂</w:t>
            </w:r>
          </w:p>
        </w:tc>
        <w:tc>
          <w:tcPr>
            <w:tcW w:w="1843" w:type="dxa"/>
          </w:tcPr>
          <w:p w14:paraId="71772891">
            <w:pPr>
              <w:pStyle w:val="29"/>
              <w:spacing w:line="320" w:lineRule="exact"/>
              <w:ind w:firstLine="0"/>
              <w:jc w:val="center"/>
              <w:rPr>
                <w:sz w:val="21"/>
                <w:szCs w:val="21"/>
              </w:rPr>
            </w:pPr>
            <w:r>
              <w:rPr>
                <w:rFonts w:hint="eastAsia"/>
                <w:sz w:val="21"/>
                <w:szCs w:val="21"/>
              </w:rPr>
              <w:t>30</w:t>
            </w:r>
            <w:r>
              <w:rPr>
                <w:sz w:val="21"/>
                <w:szCs w:val="21"/>
              </w:rPr>
              <w:t>00～</w:t>
            </w:r>
            <w:r>
              <w:rPr>
                <w:rFonts w:hint="eastAsia"/>
                <w:sz w:val="21"/>
                <w:szCs w:val="21"/>
              </w:rPr>
              <w:t>40</w:t>
            </w:r>
            <w:r>
              <w:rPr>
                <w:sz w:val="21"/>
                <w:szCs w:val="21"/>
              </w:rPr>
              <w:t>00倍液</w:t>
            </w:r>
          </w:p>
        </w:tc>
        <w:tc>
          <w:tcPr>
            <w:tcW w:w="709" w:type="dxa"/>
          </w:tcPr>
          <w:p w14:paraId="692A0FEE">
            <w:pPr>
              <w:pStyle w:val="29"/>
              <w:spacing w:line="320" w:lineRule="exact"/>
              <w:ind w:firstLine="0"/>
              <w:jc w:val="center"/>
              <w:rPr>
                <w:sz w:val="21"/>
                <w:szCs w:val="21"/>
              </w:rPr>
            </w:pPr>
            <w:r>
              <w:rPr>
                <w:sz w:val="21"/>
                <w:szCs w:val="21"/>
              </w:rPr>
              <w:t>喷雾</w:t>
            </w:r>
          </w:p>
        </w:tc>
        <w:tc>
          <w:tcPr>
            <w:tcW w:w="992" w:type="dxa"/>
          </w:tcPr>
          <w:p w14:paraId="14E036C7">
            <w:pPr>
              <w:pStyle w:val="29"/>
              <w:spacing w:line="320" w:lineRule="exact"/>
              <w:ind w:firstLine="0"/>
              <w:jc w:val="center"/>
              <w:rPr>
                <w:sz w:val="21"/>
                <w:szCs w:val="21"/>
              </w:rPr>
            </w:pPr>
            <w:r>
              <w:rPr>
                <w:rFonts w:hint="eastAsia"/>
                <w:sz w:val="21"/>
                <w:szCs w:val="21"/>
              </w:rPr>
              <w:t>-</w:t>
            </w:r>
          </w:p>
        </w:tc>
      </w:tr>
      <w:tr w14:paraId="1A8A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1560" w:type="dxa"/>
            <w:vAlign w:val="center"/>
          </w:tcPr>
          <w:p w14:paraId="5DA1F9D5">
            <w:pPr>
              <w:pStyle w:val="29"/>
              <w:spacing w:line="320" w:lineRule="exact"/>
              <w:ind w:firstLine="0"/>
              <w:jc w:val="center"/>
              <w:rPr>
                <w:sz w:val="21"/>
                <w:szCs w:val="21"/>
              </w:rPr>
            </w:pPr>
            <w:r>
              <w:rPr>
                <w:sz w:val="21"/>
                <w:szCs w:val="21"/>
              </w:rPr>
              <w:t>矢尖蚧</w:t>
            </w:r>
          </w:p>
        </w:tc>
        <w:tc>
          <w:tcPr>
            <w:tcW w:w="2693" w:type="dxa"/>
            <w:tcBorders>
              <w:bottom w:val="single" w:color="auto" w:sz="4" w:space="0"/>
            </w:tcBorders>
            <w:vAlign w:val="center"/>
          </w:tcPr>
          <w:p w14:paraId="7EBA6D02">
            <w:pPr>
              <w:pStyle w:val="29"/>
              <w:spacing w:line="320" w:lineRule="exact"/>
              <w:rPr>
                <w:szCs w:val="21"/>
              </w:rPr>
            </w:pPr>
            <w:r>
              <w:rPr>
                <w:sz w:val="21"/>
                <w:szCs w:val="21"/>
              </w:rPr>
              <w:t>矢尖蚧</w:t>
            </w:r>
            <w:r>
              <w:rPr>
                <w:rFonts w:hint="eastAsia"/>
                <w:sz w:val="21"/>
                <w:szCs w:val="21"/>
              </w:rPr>
              <w:t>：</w:t>
            </w:r>
            <w:r>
              <w:rPr>
                <w:sz w:val="21"/>
                <w:szCs w:val="21"/>
              </w:rPr>
              <w:t>初花后1月左右，或有越冬雌成虫的秋梢叶达10%以上。</w:t>
            </w:r>
          </w:p>
        </w:tc>
        <w:tc>
          <w:tcPr>
            <w:tcW w:w="2835" w:type="dxa"/>
            <w:tcBorders>
              <w:bottom w:val="single" w:color="auto" w:sz="4" w:space="0"/>
            </w:tcBorders>
            <w:vAlign w:val="center"/>
          </w:tcPr>
          <w:p w14:paraId="30DB2912">
            <w:pPr>
              <w:autoSpaceDE w:val="0"/>
              <w:autoSpaceDN w:val="0"/>
              <w:adjustRightInd w:val="0"/>
              <w:spacing w:line="300" w:lineRule="exact"/>
              <w:jc w:val="center"/>
              <w:rPr>
                <w:rFonts w:ascii="宋体"/>
                <w:kern w:val="0"/>
                <w:szCs w:val="21"/>
              </w:rPr>
            </w:pPr>
            <w:r>
              <w:rPr>
                <w:rFonts w:ascii="宋体"/>
                <w:kern w:val="0"/>
                <w:szCs w:val="21"/>
              </w:rPr>
              <w:t>25%噻嗪酮</w:t>
            </w:r>
            <w:r>
              <w:rPr>
                <w:rFonts w:hint="eastAsia" w:ascii="宋体"/>
                <w:kern w:val="0"/>
                <w:szCs w:val="21"/>
              </w:rPr>
              <w:t>可湿性粉剂</w:t>
            </w:r>
          </w:p>
        </w:tc>
        <w:tc>
          <w:tcPr>
            <w:tcW w:w="1843" w:type="dxa"/>
            <w:vAlign w:val="center"/>
          </w:tcPr>
          <w:p w14:paraId="52B0F4C5">
            <w:pPr>
              <w:pStyle w:val="29"/>
              <w:spacing w:line="320" w:lineRule="exact"/>
              <w:ind w:firstLine="0"/>
              <w:jc w:val="center"/>
              <w:rPr>
                <w:sz w:val="21"/>
                <w:szCs w:val="21"/>
              </w:rPr>
            </w:pPr>
            <w:r>
              <w:rPr>
                <w:sz w:val="21"/>
                <w:szCs w:val="21"/>
              </w:rPr>
              <w:t>1000～2000倍液</w:t>
            </w:r>
          </w:p>
        </w:tc>
        <w:tc>
          <w:tcPr>
            <w:tcW w:w="709" w:type="dxa"/>
            <w:vAlign w:val="center"/>
          </w:tcPr>
          <w:p w14:paraId="7C44F8A4">
            <w:pPr>
              <w:pStyle w:val="29"/>
              <w:spacing w:line="320" w:lineRule="exact"/>
              <w:ind w:firstLine="0"/>
              <w:jc w:val="center"/>
              <w:rPr>
                <w:sz w:val="21"/>
                <w:szCs w:val="21"/>
              </w:rPr>
            </w:pPr>
            <w:r>
              <w:rPr>
                <w:sz w:val="21"/>
                <w:szCs w:val="21"/>
              </w:rPr>
              <w:t>喷雾</w:t>
            </w:r>
          </w:p>
        </w:tc>
        <w:tc>
          <w:tcPr>
            <w:tcW w:w="992" w:type="dxa"/>
            <w:vAlign w:val="center"/>
          </w:tcPr>
          <w:p w14:paraId="1DCC5A3E">
            <w:pPr>
              <w:pStyle w:val="29"/>
              <w:spacing w:line="320" w:lineRule="exact"/>
              <w:ind w:firstLine="0"/>
              <w:jc w:val="center"/>
              <w:rPr>
                <w:sz w:val="21"/>
                <w:szCs w:val="21"/>
              </w:rPr>
            </w:pPr>
            <w:r>
              <w:rPr>
                <w:rFonts w:hint="eastAsia"/>
                <w:sz w:val="21"/>
                <w:szCs w:val="21"/>
              </w:rPr>
              <w:t>35</w:t>
            </w:r>
          </w:p>
        </w:tc>
      </w:tr>
      <w:tr w14:paraId="56E3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560" w:type="dxa"/>
            <w:vAlign w:val="center"/>
          </w:tcPr>
          <w:p w14:paraId="6C9D02FB">
            <w:pPr>
              <w:pStyle w:val="29"/>
              <w:spacing w:line="320" w:lineRule="exact"/>
              <w:jc w:val="center"/>
              <w:rPr>
                <w:sz w:val="21"/>
                <w:szCs w:val="21"/>
              </w:rPr>
            </w:pPr>
            <w:r>
              <w:rPr>
                <w:sz w:val="21"/>
                <w:szCs w:val="21"/>
              </w:rPr>
              <w:t>红蜡蚧</w:t>
            </w:r>
          </w:p>
        </w:tc>
        <w:tc>
          <w:tcPr>
            <w:tcW w:w="2693" w:type="dxa"/>
            <w:tcBorders>
              <w:top w:val="single" w:color="auto" w:sz="4" w:space="0"/>
            </w:tcBorders>
            <w:vAlign w:val="center"/>
          </w:tcPr>
          <w:p w14:paraId="0968FED4">
            <w:pPr>
              <w:snapToGrid w:val="0"/>
              <w:spacing w:line="300" w:lineRule="exact"/>
              <w:rPr>
                <w:szCs w:val="21"/>
              </w:rPr>
            </w:pPr>
            <w:r>
              <w:rPr>
                <w:rFonts w:ascii="宋体"/>
                <w:kern w:val="0"/>
                <w:szCs w:val="21"/>
              </w:rPr>
              <w:t>当年生春梢枝上幼蚧初见后20 ～25</w:t>
            </w:r>
            <w:r>
              <w:rPr>
                <w:rFonts w:hint="eastAsia" w:ascii="宋体"/>
                <w:kern w:val="0"/>
                <w:szCs w:val="21"/>
              </w:rPr>
              <w:t>天。</w:t>
            </w:r>
          </w:p>
        </w:tc>
        <w:tc>
          <w:tcPr>
            <w:tcW w:w="2835" w:type="dxa"/>
            <w:tcBorders>
              <w:top w:val="single" w:color="auto" w:sz="4" w:space="0"/>
            </w:tcBorders>
            <w:vAlign w:val="center"/>
          </w:tcPr>
          <w:p w14:paraId="400DA134">
            <w:pPr>
              <w:pStyle w:val="29"/>
              <w:spacing w:line="320" w:lineRule="exact"/>
              <w:ind w:firstLine="0"/>
              <w:jc w:val="center"/>
              <w:rPr>
                <w:sz w:val="21"/>
                <w:szCs w:val="21"/>
              </w:rPr>
            </w:pPr>
            <w:r>
              <w:rPr>
                <w:rFonts w:hint="eastAsia"/>
                <w:sz w:val="21"/>
                <w:szCs w:val="21"/>
              </w:rPr>
              <w:t>4.5%</w:t>
            </w:r>
            <w:r>
              <w:rPr>
                <w:rFonts w:ascii="Helvetica" w:hAnsi="Helvetica" w:cs="Helvetica"/>
                <w:sz w:val="21"/>
                <w:szCs w:val="21"/>
                <w:shd w:val="clear" w:color="auto" w:fill="FFFFFF"/>
              </w:rPr>
              <w:t>高效氯氰菊酯</w:t>
            </w:r>
            <w:r>
              <w:rPr>
                <w:rFonts w:hint="eastAsia" w:ascii="Helvetica" w:hAnsi="Helvetica" w:cs="Helvetica"/>
                <w:sz w:val="21"/>
                <w:szCs w:val="21"/>
                <w:shd w:val="clear" w:color="auto" w:fill="FFFFFF"/>
              </w:rPr>
              <w:t>乳油</w:t>
            </w:r>
          </w:p>
        </w:tc>
        <w:tc>
          <w:tcPr>
            <w:tcW w:w="1843" w:type="dxa"/>
            <w:vAlign w:val="center"/>
          </w:tcPr>
          <w:p w14:paraId="35D737D0">
            <w:pPr>
              <w:pStyle w:val="29"/>
              <w:spacing w:line="320" w:lineRule="exact"/>
              <w:ind w:firstLine="0"/>
              <w:jc w:val="center"/>
              <w:rPr>
                <w:sz w:val="21"/>
                <w:szCs w:val="21"/>
              </w:rPr>
            </w:pPr>
            <w:r>
              <w:rPr>
                <w:rFonts w:hint="eastAsia"/>
                <w:sz w:val="21"/>
                <w:szCs w:val="21"/>
              </w:rPr>
              <w:t>900倍液</w:t>
            </w:r>
          </w:p>
        </w:tc>
        <w:tc>
          <w:tcPr>
            <w:tcW w:w="709" w:type="dxa"/>
            <w:vAlign w:val="center"/>
          </w:tcPr>
          <w:p w14:paraId="3AA004DD">
            <w:pPr>
              <w:pStyle w:val="29"/>
              <w:spacing w:line="320" w:lineRule="exact"/>
              <w:ind w:firstLine="0"/>
              <w:jc w:val="center"/>
              <w:rPr>
                <w:sz w:val="21"/>
                <w:szCs w:val="21"/>
              </w:rPr>
            </w:pPr>
            <w:r>
              <w:rPr>
                <w:sz w:val="21"/>
                <w:szCs w:val="21"/>
              </w:rPr>
              <w:t>喷雾</w:t>
            </w:r>
          </w:p>
        </w:tc>
        <w:tc>
          <w:tcPr>
            <w:tcW w:w="992" w:type="dxa"/>
            <w:vAlign w:val="center"/>
          </w:tcPr>
          <w:p w14:paraId="6BAD6436">
            <w:pPr>
              <w:pStyle w:val="29"/>
              <w:spacing w:line="320" w:lineRule="exact"/>
              <w:ind w:firstLine="0"/>
              <w:jc w:val="center"/>
              <w:rPr>
                <w:sz w:val="21"/>
                <w:szCs w:val="21"/>
              </w:rPr>
            </w:pPr>
            <w:r>
              <w:rPr>
                <w:rFonts w:hint="eastAsia"/>
                <w:sz w:val="21"/>
                <w:szCs w:val="21"/>
              </w:rPr>
              <w:t>40</w:t>
            </w:r>
          </w:p>
        </w:tc>
      </w:tr>
      <w:tr w14:paraId="5E1E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60" w:type="dxa"/>
            <w:vAlign w:val="center"/>
          </w:tcPr>
          <w:p w14:paraId="0C0C9B1D">
            <w:pPr>
              <w:pStyle w:val="29"/>
              <w:spacing w:line="320" w:lineRule="exact"/>
              <w:ind w:firstLine="0"/>
              <w:jc w:val="center"/>
              <w:rPr>
                <w:sz w:val="21"/>
                <w:szCs w:val="21"/>
              </w:rPr>
            </w:pPr>
            <w:r>
              <w:rPr>
                <w:sz w:val="21"/>
                <w:szCs w:val="21"/>
              </w:rPr>
              <w:t>粉虱</w:t>
            </w:r>
          </w:p>
        </w:tc>
        <w:tc>
          <w:tcPr>
            <w:tcW w:w="2693" w:type="dxa"/>
            <w:vAlign w:val="center"/>
          </w:tcPr>
          <w:p w14:paraId="245CD90A">
            <w:pPr>
              <w:pStyle w:val="29"/>
              <w:spacing w:line="320" w:lineRule="exact"/>
              <w:ind w:firstLine="0"/>
              <w:rPr>
                <w:sz w:val="21"/>
                <w:szCs w:val="21"/>
              </w:rPr>
            </w:pPr>
            <w:r>
              <w:rPr>
                <w:sz w:val="21"/>
                <w:szCs w:val="21"/>
              </w:rPr>
              <w:t>春季在果园具有明显的中心聚集时和20%叶片或果实有若虫危害时</w:t>
            </w:r>
            <w:r>
              <w:rPr>
                <w:rFonts w:hAnsi="宋体"/>
                <w:sz w:val="21"/>
                <w:szCs w:val="21"/>
              </w:rPr>
              <w:t>开始喷药</w:t>
            </w:r>
            <w:r>
              <w:rPr>
                <w:sz w:val="21"/>
                <w:szCs w:val="21"/>
              </w:rPr>
              <w:t>。</w:t>
            </w:r>
          </w:p>
        </w:tc>
        <w:tc>
          <w:tcPr>
            <w:tcW w:w="2835" w:type="dxa"/>
          </w:tcPr>
          <w:p w14:paraId="7D923EFB">
            <w:pPr>
              <w:pStyle w:val="29"/>
              <w:spacing w:line="320" w:lineRule="exact"/>
              <w:ind w:firstLine="0"/>
              <w:jc w:val="center"/>
              <w:rPr>
                <w:sz w:val="21"/>
                <w:szCs w:val="21"/>
              </w:rPr>
            </w:pPr>
            <w:r>
              <w:rPr>
                <w:rFonts w:hint="eastAsia" w:hAnsi="宋体"/>
                <w:sz w:val="21"/>
                <w:szCs w:val="21"/>
              </w:rPr>
              <w:t>5%啶虫脒乳油</w:t>
            </w:r>
          </w:p>
        </w:tc>
        <w:tc>
          <w:tcPr>
            <w:tcW w:w="1843" w:type="dxa"/>
          </w:tcPr>
          <w:p w14:paraId="316B6F0E">
            <w:pPr>
              <w:pStyle w:val="29"/>
              <w:spacing w:line="320" w:lineRule="exact"/>
              <w:ind w:firstLine="0"/>
              <w:jc w:val="center"/>
              <w:rPr>
                <w:sz w:val="21"/>
                <w:szCs w:val="21"/>
              </w:rPr>
            </w:pPr>
            <w:r>
              <w:rPr>
                <w:rFonts w:hint="eastAsia"/>
                <w:sz w:val="21"/>
                <w:szCs w:val="21"/>
              </w:rPr>
              <w:t>2000～4000倍液</w:t>
            </w:r>
          </w:p>
        </w:tc>
        <w:tc>
          <w:tcPr>
            <w:tcW w:w="709" w:type="dxa"/>
            <w:vAlign w:val="center"/>
          </w:tcPr>
          <w:p w14:paraId="446438B4">
            <w:pPr>
              <w:pStyle w:val="29"/>
              <w:spacing w:line="320" w:lineRule="exact"/>
              <w:ind w:firstLine="0"/>
              <w:jc w:val="center"/>
              <w:rPr>
                <w:sz w:val="21"/>
                <w:szCs w:val="21"/>
              </w:rPr>
            </w:pPr>
            <w:r>
              <w:rPr>
                <w:sz w:val="21"/>
                <w:szCs w:val="21"/>
              </w:rPr>
              <w:t>喷雾</w:t>
            </w:r>
          </w:p>
        </w:tc>
        <w:tc>
          <w:tcPr>
            <w:tcW w:w="992" w:type="dxa"/>
          </w:tcPr>
          <w:p w14:paraId="7FB3AB5B">
            <w:pPr>
              <w:pStyle w:val="29"/>
              <w:spacing w:line="320" w:lineRule="exact"/>
              <w:ind w:firstLine="0"/>
              <w:jc w:val="center"/>
              <w:rPr>
                <w:sz w:val="21"/>
                <w:szCs w:val="21"/>
              </w:rPr>
            </w:pPr>
            <w:r>
              <w:rPr>
                <w:rFonts w:hint="eastAsia"/>
                <w:sz w:val="21"/>
                <w:szCs w:val="21"/>
              </w:rPr>
              <w:t>21</w:t>
            </w:r>
          </w:p>
        </w:tc>
      </w:tr>
      <w:tr w14:paraId="67F6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560" w:type="dxa"/>
            <w:vMerge w:val="restart"/>
            <w:vAlign w:val="center"/>
          </w:tcPr>
          <w:p w14:paraId="734ECCCC">
            <w:pPr>
              <w:snapToGrid w:val="0"/>
              <w:jc w:val="center"/>
              <w:rPr>
                <w:rFonts w:ascii="宋体" w:hAnsi="宋体"/>
                <w:kern w:val="0"/>
                <w:szCs w:val="21"/>
              </w:rPr>
            </w:pPr>
            <w:r>
              <w:rPr>
                <w:rFonts w:ascii="宋体" w:hAnsi="宋体"/>
                <w:kern w:val="0"/>
                <w:szCs w:val="21"/>
              </w:rPr>
              <w:t>潜叶蛾</w:t>
            </w:r>
          </w:p>
        </w:tc>
        <w:tc>
          <w:tcPr>
            <w:tcW w:w="2693" w:type="dxa"/>
            <w:vMerge w:val="restart"/>
            <w:vAlign w:val="center"/>
          </w:tcPr>
          <w:p w14:paraId="0FD45AAA">
            <w:pPr>
              <w:snapToGrid w:val="0"/>
              <w:rPr>
                <w:rFonts w:ascii="宋体" w:hAnsi="宋体"/>
                <w:kern w:val="0"/>
                <w:szCs w:val="21"/>
              </w:rPr>
            </w:pPr>
            <w:r>
              <w:rPr>
                <w:rFonts w:ascii="宋体" w:hAnsi="宋体"/>
                <w:kern w:val="0"/>
                <w:szCs w:val="21"/>
              </w:rPr>
              <w:t>多数新梢嫩芽长0.5</w:t>
            </w:r>
            <w:r>
              <w:rPr>
                <w:rFonts w:hint="eastAsia" w:ascii="宋体" w:hAnsi="宋体"/>
                <w:kern w:val="0"/>
                <w:szCs w:val="21"/>
              </w:rPr>
              <w:t>cm</w:t>
            </w:r>
            <w:r>
              <w:rPr>
                <w:rFonts w:ascii="宋体" w:hAnsi="宋体"/>
                <w:kern w:val="0"/>
                <w:szCs w:val="21"/>
              </w:rPr>
              <w:t>～2 cm时喷药。</w:t>
            </w:r>
          </w:p>
        </w:tc>
        <w:tc>
          <w:tcPr>
            <w:tcW w:w="2835" w:type="dxa"/>
            <w:vAlign w:val="center"/>
          </w:tcPr>
          <w:p w14:paraId="7950830D">
            <w:pPr>
              <w:snapToGrid w:val="0"/>
              <w:jc w:val="center"/>
              <w:rPr>
                <w:rFonts w:ascii="宋体" w:hAnsi="宋体"/>
                <w:kern w:val="0"/>
                <w:szCs w:val="21"/>
              </w:rPr>
            </w:pPr>
            <w:r>
              <w:rPr>
                <w:rFonts w:ascii="宋体" w:hAnsi="宋体"/>
                <w:kern w:val="0"/>
                <w:szCs w:val="21"/>
              </w:rPr>
              <w:t>20%甲氰菊酯</w:t>
            </w:r>
            <w:r>
              <w:rPr>
                <w:rFonts w:hint="eastAsia" w:ascii="宋体" w:hAnsi="宋体"/>
                <w:kern w:val="0"/>
                <w:szCs w:val="21"/>
              </w:rPr>
              <w:t>水乳剂</w:t>
            </w:r>
          </w:p>
        </w:tc>
        <w:tc>
          <w:tcPr>
            <w:tcW w:w="1843" w:type="dxa"/>
            <w:vAlign w:val="center"/>
          </w:tcPr>
          <w:p w14:paraId="28F555BD">
            <w:pPr>
              <w:pStyle w:val="29"/>
              <w:ind w:firstLine="0"/>
              <w:jc w:val="center"/>
              <w:rPr>
                <w:rFonts w:hAnsi="宋体"/>
                <w:sz w:val="21"/>
                <w:szCs w:val="21"/>
              </w:rPr>
            </w:pPr>
            <w:r>
              <w:rPr>
                <w:rFonts w:hint="eastAsia" w:hAnsi="宋体"/>
                <w:sz w:val="21"/>
                <w:szCs w:val="21"/>
              </w:rPr>
              <w:t>15</w:t>
            </w:r>
            <w:r>
              <w:rPr>
                <w:rFonts w:hAnsi="宋体"/>
                <w:sz w:val="21"/>
                <w:szCs w:val="21"/>
              </w:rPr>
              <w:t>00～</w:t>
            </w:r>
            <w:r>
              <w:rPr>
                <w:rFonts w:hint="eastAsia" w:hAnsi="宋体"/>
                <w:sz w:val="21"/>
                <w:szCs w:val="21"/>
              </w:rPr>
              <w:t>2</w:t>
            </w:r>
            <w:r>
              <w:rPr>
                <w:rFonts w:hAnsi="宋体"/>
                <w:sz w:val="21"/>
                <w:szCs w:val="21"/>
              </w:rPr>
              <w:t>000倍液</w:t>
            </w:r>
          </w:p>
        </w:tc>
        <w:tc>
          <w:tcPr>
            <w:tcW w:w="709" w:type="dxa"/>
            <w:vAlign w:val="center"/>
          </w:tcPr>
          <w:p w14:paraId="73F03090">
            <w:pPr>
              <w:pStyle w:val="29"/>
              <w:ind w:firstLine="0"/>
              <w:jc w:val="center"/>
              <w:rPr>
                <w:rFonts w:hAnsi="宋体"/>
                <w:sz w:val="21"/>
                <w:szCs w:val="21"/>
              </w:rPr>
            </w:pPr>
            <w:r>
              <w:rPr>
                <w:sz w:val="21"/>
                <w:szCs w:val="21"/>
              </w:rPr>
              <w:t>喷雾</w:t>
            </w:r>
          </w:p>
        </w:tc>
        <w:tc>
          <w:tcPr>
            <w:tcW w:w="992" w:type="dxa"/>
            <w:vAlign w:val="center"/>
          </w:tcPr>
          <w:p w14:paraId="6843E0CB">
            <w:pPr>
              <w:pStyle w:val="29"/>
              <w:ind w:firstLine="0"/>
              <w:jc w:val="center"/>
              <w:rPr>
                <w:rFonts w:hAnsi="宋体"/>
                <w:sz w:val="21"/>
                <w:szCs w:val="21"/>
              </w:rPr>
            </w:pPr>
            <w:r>
              <w:rPr>
                <w:rFonts w:hint="eastAsia" w:hAnsi="宋体"/>
                <w:sz w:val="21"/>
                <w:szCs w:val="21"/>
              </w:rPr>
              <w:t>30</w:t>
            </w:r>
          </w:p>
        </w:tc>
      </w:tr>
      <w:tr w14:paraId="5797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1560" w:type="dxa"/>
            <w:vMerge w:val="continue"/>
            <w:vAlign w:val="center"/>
          </w:tcPr>
          <w:p w14:paraId="548C68ED">
            <w:pPr>
              <w:pStyle w:val="29"/>
              <w:spacing w:line="320" w:lineRule="exact"/>
              <w:ind w:firstLine="0"/>
              <w:jc w:val="center"/>
              <w:rPr>
                <w:rFonts w:ascii="黑体" w:hAnsi="黑体" w:eastAsia="黑体"/>
                <w:sz w:val="21"/>
                <w:szCs w:val="21"/>
              </w:rPr>
            </w:pPr>
          </w:p>
        </w:tc>
        <w:tc>
          <w:tcPr>
            <w:tcW w:w="2693" w:type="dxa"/>
            <w:vMerge w:val="continue"/>
          </w:tcPr>
          <w:p w14:paraId="2CB9371C">
            <w:pPr>
              <w:snapToGrid w:val="0"/>
              <w:jc w:val="center"/>
              <w:rPr>
                <w:rFonts w:ascii="宋体" w:hAnsi="宋体"/>
                <w:kern w:val="0"/>
                <w:szCs w:val="21"/>
              </w:rPr>
            </w:pPr>
          </w:p>
        </w:tc>
        <w:tc>
          <w:tcPr>
            <w:tcW w:w="2835" w:type="dxa"/>
            <w:vAlign w:val="center"/>
          </w:tcPr>
          <w:p w14:paraId="495A1F39">
            <w:pPr>
              <w:snapToGrid w:val="0"/>
              <w:jc w:val="center"/>
              <w:rPr>
                <w:rFonts w:ascii="宋体" w:hAnsi="宋体"/>
                <w:kern w:val="0"/>
                <w:szCs w:val="21"/>
              </w:rPr>
            </w:pPr>
            <w:r>
              <w:rPr>
                <w:rFonts w:hint="eastAsia" w:ascii="Helvetica" w:hAnsi="Helvetica"/>
                <w:szCs w:val="21"/>
                <w:shd w:val="clear" w:color="auto" w:fill="FFFFFF"/>
              </w:rPr>
              <w:t>10%</w:t>
            </w:r>
            <w:r>
              <w:rPr>
                <w:rFonts w:ascii="Helvetica" w:hAnsi="Helvetica"/>
                <w:szCs w:val="21"/>
                <w:shd w:val="clear" w:color="auto" w:fill="FFFFFF"/>
              </w:rPr>
              <w:t>虫螨腈</w:t>
            </w:r>
            <w:r>
              <w:rPr>
                <w:rFonts w:hint="eastAsia" w:ascii="Helvetica" w:hAnsi="Helvetica"/>
                <w:szCs w:val="21"/>
                <w:shd w:val="clear" w:color="auto" w:fill="FFFFFF"/>
              </w:rPr>
              <w:t>悬浮剂</w:t>
            </w:r>
          </w:p>
        </w:tc>
        <w:tc>
          <w:tcPr>
            <w:tcW w:w="1843" w:type="dxa"/>
            <w:vAlign w:val="center"/>
          </w:tcPr>
          <w:p w14:paraId="2A70F106">
            <w:pPr>
              <w:snapToGrid w:val="0"/>
              <w:jc w:val="center"/>
              <w:rPr>
                <w:rFonts w:ascii="宋体" w:hAnsi="宋体"/>
                <w:kern w:val="0"/>
                <w:szCs w:val="21"/>
              </w:rPr>
            </w:pPr>
            <w:r>
              <w:rPr>
                <w:rFonts w:hint="eastAsia" w:ascii="宋体" w:hAnsi="宋体"/>
                <w:kern w:val="0"/>
                <w:szCs w:val="21"/>
              </w:rPr>
              <w:t>1500～2000倍液</w:t>
            </w:r>
          </w:p>
        </w:tc>
        <w:tc>
          <w:tcPr>
            <w:tcW w:w="709" w:type="dxa"/>
            <w:vAlign w:val="center"/>
          </w:tcPr>
          <w:p w14:paraId="6764461E">
            <w:pPr>
              <w:snapToGrid w:val="0"/>
              <w:jc w:val="center"/>
              <w:rPr>
                <w:rFonts w:ascii="宋体" w:hAnsi="宋体"/>
                <w:kern w:val="0"/>
                <w:szCs w:val="21"/>
              </w:rPr>
            </w:pPr>
            <w:r>
              <w:rPr>
                <w:rFonts w:ascii="宋体"/>
                <w:kern w:val="0"/>
                <w:szCs w:val="21"/>
              </w:rPr>
              <w:t>喷雾</w:t>
            </w:r>
          </w:p>
        </w:tc>
        <w:tc>
          <w:tcPr>
            <w:tcW w:w="992" w:type="dxa"/>
            <w:vAlign w:val="center"/>
          </w:tcPr>
          <w:p w14:paraId="1F14E7D8">
            <w:pPr>
              <w:snapToGrid w:val="0"/>
              <w:jc w:val="center"/>
              <w:rPr>
                <w:rFonts w:ascii="宋体" w:hAnsi="宋体"/>
                <w:kern w:val="0"/>
                <w:szCs w:val="21"/>
              </w:rPr>
            </w:pPr>
            <w:r>
              <w:rPr>
                <w:rFonts w:hint="eastAsia" w:ascii="宋体" w:hAnsi="宋体"/>
                <w:kern w:val="0"/>
                <w:szCs w:val="21"/>
              </w:rPr>
              <w:t>21</w:t>
            </w:r>
          </w:p>
        </w:tc>
      </w:tr>
      <w:tr w14:paraId="686E7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41066B7C">
            <w:pPr>
              <w:pStyle w:val="29"/>
              <w:spacing w:line="320" w:lineRule="exact"/>
              <w:ind w:firstLine="0"/>
              <w:jc w:val="center"/>
              <w:rPr>
                <w:rFonts w:ascii="黑体" w:hAnsi="黑体" w:eastAsia="黑体"/>
                <w:sz w:val="21"/>
                <w:szCs w:val="21"/>
              </w:rPr>
            </w:pPr>
          </w:p>
        </w:tc>
        <w:tc>
          <w:tcPr>
            <w:tcW w:w="2693" w:type="dxa"/>
            <w:vMerge w:val="continue"/>
          </w:tcPr>
          <w:p w14:paraId="408895B9">
            <w:pPr>
              <w:snapToGrid w:val="0"/>
              <w:jc w:val="center"/>
              <w:rPr>
                <w:rFonts w:ascii="宋体" w:hAnsi="宋体"/>
                <w:kern w:val="0"/>
                <w:szCs w:val="21"/>
              </w:rPr>
            </w:pPr>
          </w:p>
        </w:tc>
        <w:tc>
          <w:tcPr>
            <w:tcW w:w="2835" w:type="dxa"/>
            <w:vAlign w:val="center"/>
          </w:tcPr>
          <w:p w14:paraId="67BB677D">
            <w:pPr>
              <w:snapToGrid w:val="0"/>
              <w:jc w:val="center"/>
              <w:rPr>
                <w:rFonts w:ascii="宋体" w:hAnsi="宋体"/>
                <w:kern w:val="0"/>
                <w:szCs w:val="21"/>
              </w:rPr>
            </w:pPr>
            <w:r>
              <w:rPr>
                <w:rFonts w:hint="eastAsia" w:ascii="宋体"/>
                <w:kern w:val="0"/>
                <w:szCs w:val="21"/>
              </w:rPr>
              <w:t>5</w:t>
            </w:r>
            <w:r>
              <w:rPr>
                <w:rFonts w:ascii="宋体"/>
                <w:kern w:val="0"/>
                <w:szCs w:val="21"/>
              </w:rPr>
              <w:t>%吡虫啉</w:t>
            </w:r>
            <w:r>
              <w:rPr>
                <w:rFonts w:hint="eastAsia" w:ascii="宋体"/>
                <w:kern w:val="0"/>
                <w:szCs w:val="21"/>
              </w:rPr>
              <w:t>乳油</w:t>
            </w:r>
          </w:p>
        </w:tc>
        <w:tc>
          <w:tcPr>
            <w:tcW w:w="1843" w:type="dxa"/>
          </w:tcPr>
          <w:p w14:paraId="7A62536D">
            <w:pPr>
              <w:snapToGrid w:val="0"/>
              <w:jc w:val="center"/>
              <w:rPr>
                <w:rFonts w:ascii="宋体" w:hAnsi="宋体"/>
                <w:kern w:val="0"/>
                <w:szCs w:val="21"/>
              </w:rPr>
            </w:pPr>
            <w:r>
              <w:rPr>
                <w:rFonts w:hint="eastAsia"/>
                <w:szCs w:val="21"/>
              </w:rPr>
              <w:t>10</w:t>
            </w:r>
            <w:r>
              <w:rPr>
                <w:szCs w:val="21"/>
              </w:rPr>
              <w:t>00～</w:t>
            </w:r>
            <w:r>
              <w:rPr>
                <w:rFonts w:hint="eastAsia"/>
                <w:szCs w:val="21"/>
              </w:rPr>
              <w:t>2</w:t>
            </w:r>
            <w:r>
              <w:rPr>
                <w:szCs w:val="21"/>
              </w:rPr>
              <w:t>000倍液</w:t>
            </w:r>
          </w:p>
        </w:tc>
        <w:tc>
          <w:tcPr>
            <w:tcW w:w="709" w:type="dxa"/>
          </w:tcPr>
          <w:p w14:paraId="67E0E676">
            <w:pPr>
              <w:snapToGrid w:val="0"/>
              <w:jc w:val="center"/>
              <w:rPr>
                <w:rFonts w:ascii="宋体" w:hAnsi="宋体"/>
                <w:kern w:val="0"/>
                <w:szCs w:val="21"/>
              </w:rPr>
            </w:pPr>
            <w:r>
              <w:rPr>
                <w:rFonts w:ascii="宋体" w:hAnsi="宋体"/>
                <w:kern w:val="0"/>
                <w:szCs w:val="21"/>
              </w:rPr>
              <w:t>喷雾</w:t>
            </w:r>
          </w:p>
        </w:tc>
        <w:tc>
          <w:tcPr>
            <w:tcW w:w="992" w:type="dxa"/>
          </w:tcPr>
          <w:p w14:paraId="53420906">
            <w:pPr>
              <w:snapToGrid w:val="0"/>
              <w:jc w:val="center"/>
              <w:rPr>
                <w:rFonts w:ascii="宋体" w:hAnsi="宋体"/>
                <w:kern w:val="0"/>
                <w:szCs w:val="21"/>
              </w:rPr>
            </w:pPr>
            <w:r>
              <w:rPr>
                <w:rFonts w:hint="eastAsia" w:ascii="宋体" w:hAnsi="宋体"/>
                <w:kern w:val="0"/>
                <w:szCs w:val="21"/>
              </w:rPr>
              <w:t>21</w:t>
            </w:r>
          </w:p>
        </w:tc>
      </w:tr>
      <w:tr w14:paraId="6A3D2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560" w:type="dxa"/>
            <w:vMerge w:val="restart"/>
            <w:tcBorders>
              <w:top w:val="single" w:color="auto" w:sz="4" w:space="0"/>
            </w:tcBorders>
            <w:vAlign w:val="center"/>
          </w:tcPr>
          <w:p w14:paraId="44A72476">
            <w:pPr>
              <w:pStyle w:val="29"/>
              <w:spacing w:line="320" w:lineRule="exact"/>
              <w:jc w:val="center"/>
              <w:rPr>
                <w:rFonts w:ascii="黑体" w:hAnsi="黑体" w:eastAsia="黑体"/>
                <w:sz w:val="21"/>
                <w:szCs w:val="21"/>
              </w:rPr>
            </w:pPr>
            <w:r>
              <w:rPr>
                <w:rFonts w:hAnsi="宋体"/>
                <w:sz w:val="21"/>
                <w:szCs w:val="21"/>
              </w:rPr>
              <w:t>炭疽病</w:t>
            </w:r>
          </w:p>
        </w:tc>
        <w:tc>
          <w:tcPr>
            <w:tcW w:w="2693" w:type="dxa"/>
            <w:vMerge w:val="restart"/>
            <w:tcBorders>
              <w:top w:val="single" w:color="auto" w:sz="4" w:space="0"/>
            </w:tcBorders>
            <w:vAlign w:val="center"/>
          </w:tcPr>
          <w:p w14:paraId="3AAB2390">
            <w:pPr>
              <w:pStyle w:val="29"/>
              <w:spacing w:line="320" w:lineRule="exact"/>
              <w:ind w:firstLine="0"/>
              <w:rPr>
                <w:rFonts w:ascii="黑体" w:hAnsi="黑体" w:eastAsia="黑体"/>
                <w:sz w:val="21"/>
                <w:szCs w:val="21"/>
              </w:rPr>
            </w:pPr>
            <w:r>
              <w:rPr>
                <w:rFonts w:hAnsi="宋体"/>
                <w:sz w:val="21"/>
                <w:szCs w:val="21"/>
              </w:rPr>
              <w:t>炭疽病</w:t>
            </w:r>
            <w:r>
              <w:rPr>
                <w:rFonts w:hint="eastAsia" w:hAnsi="宋体"/>
                <w:sz w:val="21"/>
                <w:szCs w:val="21"/>
              </w:rPr>
              <w:t>：</w:t>
            </w:r>
            <w:r>
              <w:rPr>
                <w:rFonts w:hAnsi="宋体"/>
                <w:sz w:val="21"/>
                <w:szCs w:val="21"/>
              </w:rPr>
              <w:t>春、夏梢嫩梢期和果实接近成熟时。</w:t>
            </w:r>
          </w:p>
        </w:tc>
        <w:tc>
          <w:tcPr>
            <w:tcW w:w="2835" w:type="dxa"/>
            <w:tcBorders>
              <w:bottom w:val="single" w:color="auto" w:sz="4" w:space="0"/>
            </w:tcBorders>
            <w:vAlign w:val="center"/>
          </w:tcPr>
          <w:p w14:paraId="57D35EE3">
            <w:pPr>
              <w:pStyle w:val="29"/>
              <w:spacing w:line="320" w:lineRule="exact"/>
              <w:ind w:firstLine="0"/>
              <w:jc w:val="center"/>
              <w:rPr>
                <w:rFonts w:hAnsi="宋体"/>
                <w:sz w:val="21"/>
                <w:szCs w:val="21"/>
              </w:rPr>
            </w:pPr>
            <w:r>
              <w:rPr>
                <w:rFonts w:hint="eastAsia" w:hAnsi="宋体"/>
                <w:sz w:val="21"/>
                <w:szCs w:val="21"/>
              </w:rPr>
              <w:t>25%多菌灵可湿性粉剂</w:t>
            </w:r>
          </w:p>
        </w:tc>
        <w:tc>
          <w:tcPr>
            <w:tcW w:w="1843" w:type="dxa"/>
            <w:tcBorders>
              <w:bottom w:val="single" w:color="auto" w:sz="4" w:space="0"/>
            </w:tcBorders>
            <w:vAlign w:val="center"/>
          </w:tcPr>
          <w:p w14:paraId="7F212E6D">
            <w:pPr>
              <w:pStyle w:val="29"/>
              <w:spacing w:line="320" w:lineRule="exact"/>
              <w:ind w:firstLine="0"/>
              <w:jc w:val="center"/>
              <w:rPr>
                <w:rFonts w:hAnsi="宋体"/>
                <w:sz w:val="21"/>
                <w:szCs w:val="21"/>
              </w:rPr>
            </w:pPr>
            <w:r>
              <w:rPr>
                <w:rFonts w:hint="eastAsia" w:hAnsi="宋体"/>
                <w:sz w:val="21"/>
                <w:szCs w:val="21"/>
              </w:rPr>
              <w:t>250</w:t>
            </w:r>
            <w:r>
              <w:rPr>
                <w:rFonts w:hAnsi="宋体"/>
                <w:sz w:val="21"/>
                <w:szCs w:val="21"/>
              </w:rPr>
              <w:t>～</w:t>
            </w:r>
            <w:r>
              <w:rPr>
                <w:rFonts w:hint="eastAsia" w:hAnsi="宋体"/>
                <w:sz w:val="21"/>
                <w:szCs w:val="21"/>
              </w:rPr>
              <w:t>333</w:t>
            </w:r>
            <w:r>
              <w:rPr>
                <w:rFonts w:hAnsi="宋体"/>
                <w:sz w:val="21"/>
                <w:szCs w:val="21"/>
              </w:rPr>
              <w:t>倍液</w:t>
            </w:r>
          </w:p>
        </w:tc>
        <w:tc>
          <w:tcPr>
            <w:tcW w:w="709" w:type="dxa"/>
            <w:tcBorders>
              <w:bottom w:val="single" w:color="auto" w:sz="4" w:space="0"/>
            </w:tcBorders>
            <w:vAlign w:val="center"/>
          </w:tcPr>
          <w:p w14:paraId="37655487">
            <w:pPr>
              <w:pStyle w:val="29"/>
              <w:spacing w:line="320" w:lineRule="exact"/>
              <w:ind w:firstLine="0"/>
              <w:jc w:val="center"/>
              <w:rPr>
                <w:rFonts w:hAnsi="宋体"/>
                <w:sz w:val="21"/>
                <w:szCs w:val="21"/>
              </w:rPr>
            </w:pPr>
            <w:r>
              <w:rPr>
                <w:rFonts w:hAnsi="宋体"/>
                <w:sz w:val="21"/>
                <w:szCs w:val="21"/>
              </w:rPr>
              <w:t>喷雾</w:t>
            </w:r>
          </w:p>
        </w:tc>
        <w:tc>
          <w:tcPr>
            <w:tcW w:w="992" w:type="dxa"/>
            <w:tcBorders>
              <w:bottom w:val="single" w:color="auto" w:sz="4" w:space="0"/>
            </w:tcBorders>
            <w:vAlign w:val="center"/>
          </w:tcPr>
          <w:p w14:paraId="03C34866">
            <w:pPr>
              <w:pStyle w:val="29"/>
              <w:spacing w:line="320" w:lineRule="exact"/>
              <w:ind w:firstLine="0"/>
              <w:jc w:val="center"/>
              <w:rPr>
                <w:rFonts w:hAnsi="宋体"/>
                <w:sz w:val="21"/>
                <w:szCs w:val="21"/>
              </w:rPr>
            </w:pPr>
            <w:r>
              <w:rPr>
                <w:rFonts w:hint="eastAsia" w:hAnsi="宋体"/>
                <w:sz w:val="21"/>
                <w:szCs w:val="21"/>
              </w:rPr>
              <w:t>30</w:t>
            </w:r>
          </w:p>
        </w:tc>
      </w:tr>
      <w:tr w14:paraId="0228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1560" w:type="dxa"/>
            <w:vMerge w:val="continue"/>
            <w:tcBorders>
              <w:bottom w:val="single" w:color="auto" w:sz="4" w:space="0"/>
            </w:tcBorders>
            <w:vAlign w:val="center"/>
          </w:tcPr>
          <w:p w14:paraId="29FC5F69">
            <w:pPr>
              <w:pStyle w:val="29"/>
              <w:spacing w:line="320" w:lineRule="exact"/>
              <w:jc w:val="center"/>
              <w:rPr>
                <w:rFonts w:hAnsi="宋体"/>
                <w:sz w:val="21"/>
                <w:szCs w:val="21"/>
              </w:rPr>
            </w:pPr>
          </w:p>
        </w:tc>
        <w:tc>
          <w:tcPr>
            <w:tcW w:w="2693" w:type="dxa"/>
            <w:vMerge w:val="continue"/>
            <w:tcBorders>
              <w:bottom w:val="single" w:color="auto" w:sz="4" w:space="0"/>
            </w:tcBorders>
            <w:vAlign w:val="center"/>
          </w:tcPr>
          <w:p w14:paraId="1AC5A128">
            <w:pPr>
              <w:pStyle w:val="29"/>
              <w:spacing w:line="320" w:lineRule="exact"/>
              <w:rPr>
                <w:rFonts w:hAnsi="宋体"/>
                <w:sz w:val="21"/>
                <w:szCs w:val="21"/>
              </w:rPr>
            </w:pPr>
          </w:p>
        </w:tc>
        <w:tc>
          <w:tcPr>
            <w:tcW w:w="2835" w:type="dxa"/>
            <w:tcBorders>
              <w:top w:val="single" w:color="auto" w:sz="4" w:space="0"/>
            </w:tcBorders>
            <w:vAlign w:val="center"/>
          </w:tcPr>
          <w:p w14:paraId="22DD7929">
            <w:pPr>
              <w:pStyle w:val="29"/>
              <w:spacing w:line="320" w:lineRule="exact"/>
              <w:jc w:val="center"/>
              <w:rPr>
                <w:rFonts w:hAnsi="宋体"/>
                <w:sz w:val="21"/>
                <w:szCs w:val="21"/>
              </w:rPr>
            </w:pPr>
            <w:r>
              <w:rPr>
                <w:rFonts w:hAnsi="宋体"/>
                <w:sz w:val="21"/>
                <w:szCs w:val="21"/>
              </w:rPr>
              <w:t>80%代森锰锌</w:t>
            </w:r>
            <w:r>
              <w:rPr>
                <w:rFonts w:hint="eastAsia" w:hAnsi="宋体"/>
                <w:sz w:val="21"/>
                <w:szCs w:val="21"/>
              </w:rPr>
              <w:t>可湿性</w:t>
            </w:r>
          </w:p>
        </w:tc>
        <w:tc>
          <w:tcPr>
            <w:tcW w:w="1843" w:type="dxa"/>
            <w:tcBorders>
              <w:top w:val="single" w:color="auto" w:sz="4" w:space="0"/>
            </w:tcBorders>
            <w:vAlign w:val="center"/>
          </w:tcPr>
          <w:p w14:paraId="6D8FDE00">
            <w:pPr>
              <w:pStyle w:val="29"/>
              <w:spacing w:line="320" w:lineRule="exact"/>
              <w:jc w:val="center"/>
              <w:rPr>
                <w:rFonts w:hAnsi="宋体"/>
                <w:sz w:val="21"/>
                <w:szCs w:val="21"/>
              </w:rPr>
            </w:pPr>
            <w:r>
              <w:rPr>
                <w:rFonts w:hint="eastAsia" w:hAnsi="宋体"/>
                <w:sz w:val="21"/>
                <w:szCs w:val="21"/>
              </w:rPr>
              <w:t>400～500倍液</w:t>
            </w:r>
          </w:p>
        </w:tc>
        <w:tc>
          <w:tcPr>
            <w:tcW w:w="709" w:type="dxa"/>
            <w:tcBorders>
              <w:top w:val="single" w:color="auto" w:sz="4" w:space="0"/>
            </w:tcBorders>
            <w:vAlign w:val="center"/>
          </w:tcPr>
          <w:p w14:paraId="059A1954">
            <w:pPr>
              <w:pStyle w:val="29"/>
              <w:spacing w:line="320" w:lineRule="exact"/>
              <w:ind w:firstLine="0"/>
              <w:rPr>
                <w:rFonts w:hAnsi="宋体"/>
                <w:sz w:val="21"/>
                <w:szCs w:val="21"/>
              </w:rPr>
            </w:pPr>
            <w:r>
              <w:rPr>
                <w:rFonts w:hint="eastAsia" w:hAnsi="宋体"/>
                <w:sz w:val="21"/>
                <w:szCs w:val="21"/>
              </w:rPr>
              <w:t>喷雾</w:t>
            </w:r>
          </w:p>
        </w:tc>
        <w:tc>
          <w:tcPr>
            <w:tcW w:w="992" w:type="dxa"/>
            <w:tcBorders>
              <w:top w:val="single" w:color="auto" w:sz="4" w:space="0"/>
            </w:tcBorders>
            <w:vAlign w:val="center"/>
          </w:tcPr>
          <w:p w14:paraId="6CA056C1">
            <w:pPr>
              <w:pStyle w:val="29"/>
              <w:spacing w:line="320" w:lineRule="exact"/>
              <w:jc w:val="center"/>
              <w:rPr>
                <w:rFonts w:hAnsi="宋体"/>
                <w:sz w:val="21"/>
                <w:szCs w:val="21"/>
              </w:rPr>
            </w:pPr>
            <w:r>
              <w:rPr>
                <w:rFonts w:hint="eastAsia" w:hAnsi="宋体"/>
                <w:sz w:val="21"/>
                <w:szCs w:val="21"/>
              </w:rPr>
              <w:t>21</w:t>
            </w:r>
          </w:p>
        </w:tc>
      </w:tr>
      <w:tr w14:paraId="2120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560" w:type="dxa"/>
            <w:tcBorders>
              <w:top w:val="single" w:color="auto" w:sz="4" w:space="0"/>
            </w:tcBorders>
            <w:vAlign w:val="center"/>
          </w:tcPr>
          <w:p w14:paraId="2185E561">
            <w:pPr>
              <w:pStyle w:val="29"/>
              <w:spacing w:line="320" w:lineRule="exact"/>
              <w:jc w:val="center"/>
              <w:rPr>
                <w:rFonts w:hAnsi="宋体"/>
                <w:sz w:val="21"/>
                <w:szCs w:val="21"/>
              </w:rPr>
            </w:pPr>
            <w:r>
              <w:rPr>
                <w:rFonts w:hAnsi="宋体"/>
                <w:sz w:val="21"/>
                <w:szCs w:val="21"/>
              </w:rPr>
              <w:t>树脂病）</w:t>
            </w:r>
          </w:p>
        </w:tc>
        <w:tc>
          <w:tcPr>
            <w:tcW w:w="2693" w:type="dxa"/>
            <w:tcBorders>
              <w:top w:val="single" w:color="auto" w:sz="4" w:space="0"/>
            </w:tcBorders>
            <w:vAlign w:val="center"/>
          </w:tcPr>
          <w:p w14:paraId="1E405960">
            <w:pPr>
              <w:pStyle w:val="29"/>
              <w:spacing w:line="320" w:lineRule="exact"/>
              <w:ind w:firstLine="0"/>
              <w:rPr>
                <w:rFonts w:hAnsi="宋体"/>
                <w:sz w:val="21"/>
                <w:szCs w:val="21"/>
              </w:rPr>
            </w:pPr>
            <w:r>
              <w:rPr>
                <w:rFonts w:hAnsi="宋体"/>
                <w:sz w:val="21"/>
                <w:szCs w:val="21"/>
              </w:rPr>
              <w:t>谢花至果实膨大期</w:t>
            </w:r>
          </w:p>
        </w:tc>
        <w:tc>
          <w:tcPr>
            <w:tcW w:w="2835" w:type="dxa"/>
            <w:vAlign w:val="center"/>
          </w:tcPr>
          <w:p w14:paraId="456B5A47">
            <w:pPr>
              <w:pStyle w:val="29"/>
              <w:spacing w:line="320" w:lineRule="exact"/>
              <w:ind w:firstLine="0"/>
              <w:rPr>
                <w:rFonts w:hAnsi="宋体"/>
                <w:sz w:val="21"/>
                <w:szCs w:val="21"/>
              </w:rPr>
            </w:pPr>
            <w:r>
              <w:rPr>
                <w:rFonts w:hAnsi="宋体"/>
                <w:sz w:val="21"/>
                <w:szCs w:val="21"/>
              </w:rPr>
              <w:t>80%代森锰锌</w:t>
            </w:r>
            <w:r>
              <w:rPr>
                <w:rFonts w:hint="eastAsia" w:hAnsi="宋体"/>
                <w:sz w:val="21"/>
                <w:szCs w:val="21"/>
              </w:rPr>
              <w:t>可湿性粉剂</w:t>
            </w:r>
          </w:p>
        </w:tc>
        <w:tc>
          <w:tcPr>
            <w:tcW w:w="1843" w:type="dxa"/>
            <w:vAlign w:val="center"/>
          </w:tcPr>
          <w:p w14:paraId="4160B13F">
            <w:pPr>
              <w:pStyle w:val="29"/>
              <w:spacing w:line="320" w:lineRule="exact"/>
              <w:ind w:firstLine="0"/>
              <w:jc w:val="center"/>
              <w:rPr>
                <w:rFonts w:hAnsi="宋体"/>
                <w:sz w:val="21"/>
                <w:szCs w:val="21"/>
              </w:rPr>
            </w:pPr>
            <w:r>
              <w:rPr>
                <w:rFonts w:hint="eastAsia" w:hAnsi="宋体"/>
                <w:sz w:val="21"/>
                <w:szCs w:val="21"/>
              </w:rPr>
              <w:t>4</w:t>
            </w:r>
            <w:r>
              <w:rPr>
                <w:rFonts w:hAnsi="宋体"/>
                <w:sz w:val="21"/>
                <w:szCs w:val="21"/>
              </w:rPr>
              <w:t>00～</w:t>
            </w:r>
            <w:r>
              <w:rPr>
                <w:rFonts w:hint="eastAsia" w:hAnsi="宋体"/>
                <w:sz w:val="21"/>
                <w:szCs w:val="21"/>
              </w:rPr>
              <w:t>6</w:t>
            </w:r>
            <w:r>
              <w:rPr>
                <w:rFonts w:hAnsi="宋体"/>
                <w:sz w:val="21"/>
                <w:szCs w:val="21"/>
              </w:rPr>
              <w:t>00倍液</w:t>
            </w:r>
          </w:p>
        </w:tc>
        <w:tc>
          <w:tcPr>
            <w:tcW w:w="709" w:type="dxa"/>
            <w:vAlign w:val="center"/>
          </w:tcPr>
          <w:p w14:paraId="33AB7BB7">
            <w:pPr>
              <w:pStyle w:val="29"/>
              <w:spacing w:line="320" w:lineRule="exact"/>
              <w:ind w:firstLine="0"/>
              <w:jc w:val="center"/>
              <w:rPr>
                <w:rFonts w:hAnsi="宋体"/>
                <w:sz w:val="21"/>
                <w:szCs w:val="21"/>
              </w:rPr>
            </w:pPr>
            <w:r>
              <w:rPr>
                <w:rFonts w:hAnsi="宋体"/>
                <w:sz w:val="21"/>
                <w:szCs w:val="21"/>
              </w:rPr>
              <w:t>喷雾</w:t>
            </w:r>
          </w:p>
        </w:tc>
        <w:tc>
          <w:tcPr>
            <w:tcW w:w="992" w:type="dxa"/>
            <w:vAlign w:val="center"/>
          </w:tcPr>
          <w:p w14:paraId="5B4887B5">
            <w:pPr>
              <w:pStyle w:val="29"/>
              <w:spacing w:line="320" w:lineRule="exact"/>
              <w:ind w:firstLine="0"/>
              <w:jc w:val="center"/>
              <w:rPr>
                <w:rFonts w:hAnsi="宋体"/>
                <w:sz w:val="21"/>
                <w:szCs w:val="21"/>
              </w:rPr>
            </w:pPr>
            <w:r>
              <w:rPr>
                <w:rFonts w:hint="eastAsia" w:hAnsi="宋体"/>
                <w:sz w:val="21"/>
                <w:szCs w:val="21"/>
              </w:rPr>
              <w:t>21</w:t>
            </w:r>
          </w:p>
        </w:tc>
      </w:tr>
      <w:tr w14:paraId="6DE3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restart"/>
            <w:tcBorders>
              <w:top w:val="single" w:color="auto" w:sz="4" w:space="0"/>
            </w:tcBorders>
            <w:vAlign w:val="center"/>
          </w:tcPr>
          <w:p w14:paraId="3EF87676">
            <w:pPr>
              <w:pStyle w:val="29"/>
              <w:spacing w:line="320" w:lineRule="exact"/>
              <w:jc w:val="center"/>
              <w:rPr>
                <w:rFonts w:hAnsi="宋体"/>
                <w:sz w:val="21"/>
                <w:szCs w:val="21"/>
              </w:rPr>
            </w:pPr>
            <w:r>
              <w:rPr>
                <w:rFonts w:hAnsi="宋体"/>
                <w:sz w:val="21"/>
                <w:szCs w:val="21"/>
              </w:rPr>
              <w:t>疮痂病</w:t>
            </w:r>
          </w:p>
        </w:tc>
        <w:tc>
          <w:tcPr>
            <w:tcW w:w="2693" w:type="dxa"/>
            <w:vMerge w:val="restart"/>
            <w:tcBorders>
              <w:top w:val="single" w:color="auto" w:sz="4" w:space="0"/>
            </w:tcBorders>
            <w:vAlign w:val="center"/>
          </w:tcPr>
          <w:p w14:paraId="58086E65">
            <w:pPr>
              <w:pStyle w:val="29"/>
              <w:spacing w:line="320" w:lineRule="exact"/>
              <w:rPr>
                <w:rFonts w:hAnsi="宋体"/>
                <w:sz w:val="21"/>
                <w:szCs w:val="21"/>
              </w:rPr>
            </w:pPr>
            <w:r>
              <w:rPr>
                <w:rFonts w:hAnsi="宋体"/>
                <w:sz w:val="21"/>
                <w:szCs w:val="21"/>
              </w:rPr>
              <w:t>春梢新芽萌动至芽长2mm前及谢花2/3时喷药</w:t>
            </w:r>
            <w:r>
              <w:rPr>
                <w:rFonts w:hint="eastAsia" w:hAnsi="宋体"/>
                <w:sz w:val="21"/>
                <w:szCs w:val="21"/>
              </w:rPr>
              <w:t>，</w:t>
            </w:r>
            <w:r>
              <w:rPr>
                <w:rFonts w:hAnsi="宋体"/>
                <w:sz w:val="21"/>
                <w:szCs w:val="21"/>
              </w:rPr>
              <w:t>秋梢发病地区需喷药保护。</w:t>
            </w:r>
          </w:p>
        </w:tc>
        <w:tc>
          <w:tcPr>
            <w:tcW w:w="2835" w:type="dxa"/>
            <w:tcBorders>
              <w:top w:val="single" w:color="auto" w:sz="4" w:space="0"/>
            </w:tcBorders>
            <w:vAlign w:val="center"/>
          </w:tcPr>
          <w:p w14:paraId="3EF34A72">
            <w:pPr>
              <w:pStyle w:val="29"/>
              <w:spacing w:line="320" w:lineRule="exact"/>
              <w:ind w:firstLine="0"/>
              <w:jc w:val="center"/>
              <w:rPr>
                <w:rFonts w:hAnsi="宋体"/>
                <w:sz w:val="21"/>
                <w:szCs w:val="21"/>
              </w:rPr>
            </w:pPr>
            <w:r>
              <w:rPr>
                <w:rFonts w:hAnsi="宋体"/>
                <w:sz w:val="21"/>
                <w:szCs w:val="21"/>
              </w:rPr>
              <w:t>70%甲基硫菌灵</w:t>
            </w:r>
            <w:r>
              <w:rPr>
                <w:rFonts w:hint="eastAsia" w:hAnsi="宋体"/>
                <w:sz w:val="21"/>
                <w:szCs w:val="21"/>
              </w:rPr>
              <w:t>可湿性粉剂</w:t>
            </w:r>
          </w:p>
        </w:tc>
        <w:tc>
          <w:tcPr>
            <w:tcW w:w="1843" w:type="dxa"/>
            <w:vAlign w:val="center"/>
          </w:tcPr>
          <w:p w14:paraId="04D68E34">
            <w:pPr>
              <w:pStyle w:val="29"/>
              <w:spacing w:line="320" w:lineRule="exact"/>
              <w:ind w:firstLine="0"/>
              <w:jc w:val="center"/>
              <w:rPr>
                <w:rFonts w:hAnsi="宋体"/>
                <w:sz w:val="21"/>
                <w:szCs w:val="21"/>
              </w:rPr>
            </w:pPr>
            <w:r>
              <w:rPr>
                <w:rFonts w:hint="eastAsia" w:hAnsi="宋体"/>
                <w:sz w:val="21"/>
                <w:szCs w:val="21"/>
              </w:rPr>
              <w:t>800</w:t>
            </w:r>
            <w:r>
              <w:rPr>
                <w:rFonts w:hAnsi="宋体"/>
                <w:sz w:val="21"/>
                <w:szCs w:val="21"/>
              </w:rPr>
              <w:t>～</w:t>
            </w:r>
            <w:r>
              <w:rPr>
                <w:rFonts w:hint="eastAsia" w:hAnsi="宋体"/>
                <w:sz w:val="21"/>
                <w:szCs w:val="21"/>
              </w:rPr>
              <w:t>1200</w:t>
            </w:r>
            <w:r>
              <w:rPr>
                <w:rFonts w:hAnsi="宋体"/>
                <w:sz w:val="21"/>
                <w:szCs w:val="21"/>
              </w:rPr>
              <w:t>倍液</w:t>
            </w:r>
          </w:p>
        </w:tc>
        <w:tc>
          <w:tcPr>
            <w:tcW w:w="709" w:type="dxa"/>
            <w:vAlign w:val="center"/>
          </w:tcPr>
          <w:p w14:paraId="3BE19615">
            <w:pPr>
              <w:pStyle w:val="29"/>
              <w:spacing w:line="320" w:lineRule="exact"/>
              <w:ind w:firstLine="0"/>
              <w:jc w:val="center"/>
              <w:rPr>
                <w:rFonts w:hAnsi="宋体"/>
                <w:sz w:val="21"/>
                <w:szCs w:val="21"/>
              </w:rPr>
            </w:pPr>
            <w:r>
              <w:rPr>
                <w:rFonts w:hAnsi="宋体"/>
                <w:sz w:val="21"/>
                <w:szCs w:val="21"/>
              </w:rPr>
              <w:t>喷雾</w:t>
            </w:r>
          </w:p>
        </w:tc>
        <w:tc>
          <w:tcPr>
            <w:tcW w:w="992" w:type="dxa"/>
            <w:vAlign w:val="center"/>
          </w:tcPr>
          <w:p w14:paraId="240690D2">
            <w:pPr>
              <w:pStyle w:val="29"/>
              <w:spacing w:line="320" w:lineRule="exact"/>
              <w:ind w:firstLine="0"/>
              <w:jc w:val="center"/>
              <w:rPr>
                <w:rFonts w:hAnsi="宋体"/>
                <w:sz w:val="21"/>
                <w:szCs w:val="21"/>
              </w:rPr>
            </w:pPr>
            <w:r>
              <w:rPr>
                <w:rFonts w:hint="eastAsia" w:hAnsi="宋体"/>
                <w:sz w:val="21"/>
                <w:szCs w:val="21"/>
              </w:rPr>
              <w:t>21</w:t>
            </w:r>
          </w:p>
        </w:tc>
      </w:tr>
      <w:tr w14:paraId="11E4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62988BEC">
            <w:pPr>
              <w:pStyle w:val="29"/>
              <w:spacing w:line="320" w:lineRule="exact"/>
              <w:jc w:val="center"/>
              <w:rPr>
                <w:rFonts w:hAnsi="宋体"/>
                <w:sz w:val="21"/>
                <w:szCs w:val="21"/>
              </w:rPr>
            </w:pPr>
          </w:p>
        </w:tc>
        <w:tc>
          <w:tcPr>
            <w:tcW w:w="2693" w:type="dxa"/>
            <w:vMerge w:val="continue"/>
            <w:vAlign w:val="center"/>
          </w:tcPr>
          <w:p w14:paraId="715C0C52">
            <w:pPr>
              <w:pStyle w:val="29"/>
              <w:spacing w:line="320" w:lineRule="exact"/>
              <w:ind w:firstLine="0"/>
              <w:jc w:val="center"/>
              <w:rPr>
                <w:rFonts w:hAnsi="宋体"/>
                <w:sz w:val="21"/>
                <w:szCs w:val="21"/>
              </w:rPr>
            </w:pPr>
          </w:p>
        </w:tc>
        <w:tc>
          <w:tcPr>
            <w:tcW w:w="2835" w:type="dxa"/>
            <w:vAlign w:val="center"/>
          </w:tcPr>
          <w:p w14:paraId="1C0B93BD">
            <w:pPr>
              <w:pStyle w:val="29"/>
              <w:spacing w:line="320" w:lineRule="exact"/>
              <w:ind w:firstLine="0"/>
              <w:jc w:val="center"/>
              <w:rPr>
                <w:rFonts w:hAnsi="宋体"/>
                <w:sz w:val="21"/>
                <w:szCs w:val="21"/>
              </w:rPr>
            </w:pPr>
            <w:r>
              <w:rPr>
                <w:rFonts w:hint="eastAsia" w:hAnsi="宋体"/>
                <w:sz w:val="21"/>
                <w:szCs w:val="21"/>
              </w:rPr>
              <w:t>40%</w:t>
            </w:r>
            <w:r>
              <w:rPr>
                <w:rFonts w:hAnsi="宋体"/>
                <w:sz w:val="21"/>
                <w:szCs w:val="21"/>
              </w:rPr>
              <w:t>腈菌唑</w:t>
            </w:r>
            <w:r>
              <w:rPr>
                <w:rFonts w:hint="eastAsia" w:hAnsi="宋体"/>
                <w:sz w:val="21"/>
                <w:szCs w:val="21"/>
              </w:rPr>
              <w:t>水分散粒剂</w:t>
            </w:r>
          </w:p>
        </w:tc>
        <w:tc>
          <w:tcPr>
            <w:tcW w:w="1843" w:type="dxa"/>
            <w:vAlign w:val="center"/>
          </w:tcPr>
          <w:p w14:paraId="3455B735">
            <w:pPr>
              <w:pStyle w:val="29"/>
              <w:spacing w:line="320" w:lineRule="exact"/>
              <w:ind w:firstLine="0"/>
              <w:jc w:val="center"/>
              <w:rPr>
                <w:rFonts w:hAnsi="宋体"/>
                <w:sz w:val="21"/>
                <w:szCs w:val="21"/>
              </w:rPr>
            </w:pPr>
            <w:r>
              <w:rPr>
                <w:rFonts w:hint="eastAsia" w:hAnsi="宋体"/>
                <w:sz w:val="21"/>
                <w:szCs w:val="21"/>
              </w:rPr>
              <w:t>4</w:t>
            </w:r>
            <w:r>
              <w:rPr>
                <w:rFonts w:hAnsi="宋体"/>
                <w:sz w:val="21"/>
                <w:szCs w:val="21"/>
              </w:rPr>
              <w:t>000～</w:t>
            </w:r>
            <w:r>
              <w:rPr>
                <w:rFonts w:hint="eastAsia" w:hAnsi="宋体"/>
                <w:sz w:val="21"/>
                <w:szCs w:val="21"/>
              </w:rPr>
              <w:t>4800</w:t>
            </w:r>
            <w:r>
              <w:rPr>
                <w:rFonts w:hAnsi="宋体"/>
                <w:sz w:val="21"/>
                <w:szCs w:val="21"/>
              </w:rPr>
              <w:t>倍液</w:t>
            </w:r>
          </w:p>
        </w:tc>
        <w:tc>
          <w:tcPr>
            <w:tcW w:w="709" w:type="dxa"/>
            <w:vAlign w:val="center"/>
          </w:tcPr>
          <w:p w14:paraId="1AB63F5D">
            <w:pPr>
              <w:pStyle w:val="29"/>
              <w:spacing w:line="320" w:lineRule="exact"/>
              <w:ind w:firstLine="0"/>
              <w:jc w:val="center"/>
              <w:rPr>
                <w:rFonts w:hAnsi="宋体"/>
                <w:sz w:val="21"/>
                <w:szCs w:val="21"/>
              </w:rPr>
            </w:pPr>
            <w:r>
              <w:rPr>
                <w:rFonts w:hAnsi="宋体"/>
                <w:sz w:val="21"/>
                <w:szCs w:val="21"/>
              </w:rPr>
              <w:t>喷雾</w:t>
            </w:r>
          </w:p>
        </w:tc>
        <w:tc>
          <w:tcPr>
            <w:tcW w:w="992" w:type="dxa"/>
            <w:vAlign w:val="center"/>
          </w:tcPr>
          <w:p w14:paraId="29FFDD71">
            <w:pPr>
              <w:pStyle w:val="29"/>
              <w:spacing w:line="320" w:lineRule="exact"/>
              <w:ind w:firstLine="0"/>
              <w:jc w:val="center"/>
              <w:rPr>
                <w:rFonts w:hAnsi="宋体"/>
                <w:sz w:val="21"/>
                <w:szCs w:val="21"/>
              </w:rPr>
            </w:pPr>
            <w:r>
              <w:rPr>
                <w:rFonts w:hint="eastAsia" w:hAnsi="宋体"/>
                <w:sz w:val="21"/>
                <w:szCs w:val="21"/>
              </w:rPr>
              <w:t>14</w:t>
            </w:r>
          </w:p>
        </w:tc>
      </w:tr>
      <w:tr w14:paraId="6B75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vAlign w:val="center"/>
          </w:tcPr>
          <w:p w14:paraId="65C545F1">
            <w:pPr>
              <w:pStyle w:val="29"/>
              <w:spacing w:line="320" w:lineRule="exact"/>
              <w:ind w:firstLine="0"/>
              <w:jc w:val="center"/>
              <w:rPr>
                <w:rFonts w:hAnsi="宋体"/>
                <w:sz w:val="21"/>
                <w:szCs w:val="21"/>
              </w:rPr>
            </w:pPr>
          </w:p>
        </w:tc>
        <w:tc>
          <w:tcPr>
            <w:tcW w:w="2693" w:type="dxa"/>
            <w:vMerge w:val="continue"/>
            <w:vAlign w:val="center"/>
          </w:tcPr>
          <w:p w14:paraId="2EB6C48A">
            <w:pPr>
              <w:pStyle w:val="29"/>
              <w:spacing w:line="320" w:lineRule="exact"/>
              <w:ind w:firstLine="0"/>
              <w:jc w:val="center"/>
              <w:rPr>
                <w:rFonts w:hAnsi="宋体"/>
                <w:sz w:val="21"/>
                <w:szCs w:val="21"/>
              </w:rPr>
            </w:pPr>
          </w:p>
        </w:tc>
        <w:tc>
          <w:tcPr>
            <w:tcW w:w="2835" w:type="dxa"/>
            <w:vAlign w:val="center"/>
          </w:tcPr>
          <w:p w14:paraId="0017FD16">
            <w:pPr>
              <w:pStyle w:val="29"/>
              <w:spacing w:line="320" w:lineRule="exact"/>
              <w:ind w:firstLine="0"/>
              <w:jc w:val="center"/>
              <w:rPr>
                <w:rFonts w:hAnsi="宋体"/>
                <w:sz w:val="21"/>
                <w:szCs w:val="21"/>
              </w:rPr>
            </w:pPr>
            <w:r>
              <w:rPr>
                <w:rFonts w:hAnsi="宋体"/>
                <w:sz w:val="21"/>
                <w:szCs w:val="21"/>
              </w:rPr>
              <w:t>25%嘧菌酯</w:t>
            </w:r>
            <w:r>
              <w:rPr>
                <w:rFonts w:hint="eastAsia" w:hAnsi="宋体"/>
                <w:sz w:val="21"/>
                <w:szCs w:val="21"/>
              </w:rPr>
              <w:t>悬浮剂</w:t>
            </w:r>
          </w:p>
        </w:tc>
        <w:tc>
          <w:tcPr>
            <w:tcW w:w="1843" w:type="dxa"/>
            <w:vAlign w:val="center"/>
          </w:tcPr>
          <w:p w14:paraId="119FED34">
            <w:pPr>
              <w:pStyle w:val="29"/>
              <w:spacing w:line="320" w:lineRule="exact"/>
              <w:ind w:firstLine="0"/>
              <w:jc w:val="center"/>
              <w:rPr>
                <w:rFonts w:hAnsi="宋体"/>
                <w:sz w:val="21"/>
                <w:szCs w:val="21"/>
              </w:rPr>
            </w:pPr>
            <w:r>
              <w:rPr>
                <w:rFonts w:hAnsi="宋体"/>
                <w:sz w:val="21"/>
                <w:szCs w:val="21"/>
              </w:rPr>
              <w:t>800～1</w:t>
            </w:r>
            <w:r>
              <w:rPr>
                <w:rFonts w:hint="eastAsia" w:hAnsi="宋体"/>
                <w:sz w:val="21"/>
                <w:szCs w:val="21"/>
              </w:rPr>
              <w:t>000</w:t>
            </w:r>
            <w:r>
              <w:rPr>
                <w:rFonts w:hAnsi="宋体"/>
                <w:sz w:val="21"/>
                <w:szCs w:val="21"/>
              </w:rPr>
              <w:t>倍液</w:t>
            </w:r>
          </w:p>
        </w:tc>
        <w:tc>
          <w:tcPr>
            <w:tcW w:w="709" w:type="dxa"/>
            <w:vAlign w:val="center"/>
          </w:tcPr>
          <w:p w14:paraId="2764E13C">
            <w:pPr>
              <w:pStyle w:val="29"/>
              <w:spacing w:line="320" w:lineRule="exact"/>
              <w:ind w:firstLine="0"/>
              <w:jc w:val="center"/>
              <w:rPr>
                <w:rFonts w:hAnsi="宋体"/>
                <w:sz w:val="21"/>
                <w:szCs w:val="21"/>
              </w:rPr>
            </w:pPr>
            <w:r>
              <w:rPr>
                <w:rFonts w:hAnsi="宋体"/>
                <w:sz w:val="21"/>
                <w:szCs w:val="21"/>
              </w:rPr>
              <w:t>喷雾</w:t>
            </w:r>
          </w:p>
        </w:tc>
        <w:tc>
          <w:tcPr>
            <w:tcW w:w="992" w:type="dxa"/>
            <w:vAlign w:val="center"/>
          </w:tcPr>
          <w:p w14:paraId="16646BC0">
            <w:pPr>
              <w:pStyle w:val="29"/>
              <w:spacing w:line="320" w:lineRule="exact"/>
              <w:ind w:firstLine="0"/>
              <w:jc w:val="center"/>
              <w:rPr>
                <w:rFonts w:hAnsi="宋体"/>
                <w:sz w:val="21"/>
                <w:szCs w:val="21"/>
              </w:rPr>
            </w:pPr>
            <w:r>
              <w:rPr>
                <w:rFonts w:hint="eastAsia" w:hAnsi="宋体"/>
                <w:sz w:val="21"/>
                <w:szCs w:val="21"/>
              </w:rPr>
              <w:t>14</w:t>
            </w:r>
          </w:p>
        </w:tc>
      </w:tr>
      <w:tr w14:paraId="09FC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restart"/>
            <w:vAlign w:val="center"/>
          </w:tcPr>
          <w:p w14:paraId="73C45C55">
            <w:pPr>
              <w:pStyle w:val="29"/>
              <w:spacing w:line="320" w:lineRule="exact"/>
              <w:ind w:firstLine="0"/>
              <w:jc w:val="center"/>
              <w:rPr>
                <w:rFonts w:hAnsi="宋体"/>
                <w:sz w:val="21"/>
                <w:szCs w:val="21"/>
              </w:rPr>
            </w:pPr>
            <w:r>
              <w:rPr>
                <w:rFonts w:hint="eastAsia" w:hAnsi="宋体"/>
                <w:sz w:val="21"/>
                <w:szCs w:val="21"/>
              </w:rPr>
              <w:t>青霉病、绿霉病</w:t>
            </w:r>
          </w:p>
        </w:tc>
        <w:tc>
          <w:tcPr>
            <w:tcW w:w="2693" w:type="dxa"/>
            <w:vMerge w:val="restart"/>
            <w:vAlign w:val="center"/>
          </w:tcPr>
          <w:p w14:paraId="1A8BFDC9">
            <w:pPr>
              <w:pStyle w:val="29"/>
              <w:spacing w:line="320" w:lineRule="exact"/>
              <w:ind w:firstLine="0"/>
              <w:jc w:val="center"/>
              <w:rPr>
                <w:rFonts w:hAnsi="宋体"/>
                <w:sz w:val="21"/>
                <w:szCs w:val="21"/>
              </w:rPr>
            </w:pPr>
            <w:r>
              <w:rPr>
                <w:rFonts w:hint="eastAsia" w:hAnsi="宋体"/>
                <w:sz w:val="21"/>
                <w:szCs w:val="21"/>
              </w:rPr>
              <w:t>采果后24小时内浸果。</w:t>
            </w:r>
            <w:r>
              <w:rPr>
                <w:rFonts w:hAnsi="宋体"/>
                <w:sz w:val="21"/>
                <w:szCs w:val="21"/>
              </w:rPr>
              <w:t xml:space="preserve"> </w:t>
            </w:r>
          </w:p>
        </w:tc>
        <w:tc>
          <w:tcPr>
            <w:tcW w:w="2835" w:type="dxa"/>
            <w:vAlign w:val="center"/>
          </w:tcPr>
          <w:p w14:paraId="6EFD896D">
            <w:pPr>
              <w:pStyle w:val="29"/>
              <w:spacing w:line="320" w:lineRule="exact"/>
              <w:ind w:firstLine="0"/>
              <w:jc w:val="center"/>
              <w:rPr>
                <w:rFonts w:hAnsi="宋体"/>
                <w:sz w:val="21"/>
                <w:szCs w:val="21"/>
              </w:rPr>
            </w:pPr>
            <w:r>
              <w:rPr>
                <w:rFonts w:hint="eastAsia" w:hAnsi="宋体"/>
                <w:sz w:val="21"/>
                <w:szCs w:val="21"/>
              </w:rPr>
              <w:t> 50%抑霉唑乳油</w:t>
            </w:r>
          </w:p>
        </w:tc>
        <w:tc>
          <w:tcPr>
            <w:tcW w:w="1843" w:type="dxa"/>
            <w:vAlign w:val="center"/>
          </w:tcPr>
          <w:p w14:paraId="5059E1D3">
            <w:pPr>
              <w:pStyle w:val="29"/>
              <w:spacing w:line="320" w:lineRule="exact"/>
              <w:ind w:firstLine="0"/>
              <w:jc w:val="center"/>
              <w:rPr>
                <w:rFonts w:hAnsi="宋体"/>
                <w:sz w:val="21"/>
                <w:szCs w:val="21"/>
              </w:rPr>
            </w:pPr>
            <w:r>
              <w:rPr>
                <w:rFonts w:hint="eastAsia" w:hAnsi="宋体"/>
                <w:sz w:val="21"/>
                <w:szCs w:val="21"/>
              </w:rPr>
              <w:t>1000～2000倍液</w:t>
            </w:r>
          </w:p>
        </w:tc>
        <w:tc>
          <w:tcPr>
            <w:tcW w:w="709" w:type="dxa"/>
            <w:vAlign w:val="center"/>
          </w:tcPr>
          <w:p w14:paraId="2B4B3509">
            <w:pPr>
              <w:pStyle w:val="29"/>
              <w:spacing w:line="320" w:lineRule="exact"/>
              <w:ind w:firstLine="0"/>
              <w:jc w:val="center"/>
              <w:rPr>
                <w:rFonts w:hAnsi="宋体"/>
                <w:sz w:val="21"/>
                <w:szCs w:val="21"/>
              </w:rPr>
            </w:pPr>
            <w:r>
              <w:rPr>
                <w:rFonts w:hint="eastAsia" w:hAnsi="宋体"/>
                <w:sz w:val="21"/>
                <w:szCs w:val="21"/>
              </w:rPr>
              <w:t>浸果</w:t>
            </w:r>
          </w:p>
        </w:tc>
        <w:tc>
          <w:tcPr>
            <w:tcW w:w="992" w:type="dxa"/>
            <w:vAlign w:val="center"/>
          </w:tcPr>
          <w:p w14:paraId="5CA02565">
            <w:pPr>
              <w:pStyle w:val="29"/>
              <w:spacing w:line="320" w:lineRule="exact"/>
              <w:ind w:firstLine="0"/>
              <w:jc w:val="center"/>
              <w:rPr>
                <w:rFonts w:hAnsi="宋体"/>
                <w:sz w:val="21"/>
                <w:szCs w:val="21"/>
              </w:rPr>
            </w:pPr>
            <w:r>
              <w:rPr>
                <w:rFonts w:hint="eastAsia" w:hAnsi="宋体"/>
                <w:sz w:val="21"/>
                <w:szCs w:val="21"/>
              </w:rPr>
              <w:t>60</w:t>
            </w:r>
          </w:p>
        </w:tc>
      </w:tr>
      <w:tr w14:paraId="44CF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bottom w:val="single" w:color="auto" w:sz="4" w:space="0"/>
            </w:tcBorders>
            <w:vAlign w:val="center"/>
          </w:tcPr>
          <w:p w14:paraId="22EF91DA">
            <w:pPr>
              <w:pStyle w:val="29"/>
              <w:spacing w:line="320" w:lineRule="exact"/>
              <w:ind w:firstLine="0"/>
              <w:jc w:val="center"/>
              <w:rPr>
                <w:rFonts w:hAnsi="宋体"/>
                <w:sz w:val="21"/>
                <w:szCs w:val="21"/>
              </w:rPr>
            </w:pPr>
          </w:p>
        </w:tc>
        <w:tc>
          <w:tcPr>
            <w:tcW w:w="2693" w:type="dxa"/>
            <w:vMerge w:val="continue"/>
            <w:tcBorders>
              <w:bottom w:val="single" w:color="auto" w:sz="4" w:space="0"/>
            </w:tcBorders>
            <w:vAlign w:val="center"/>
          </w:tcPr>
          <w:p w14:paraId="67A9DC72">
            <w:pPr>
              <w:pStyle w:val="29"/>
              <w:spacing w:line="320" w:lineRule="exact"/>
              <w:ind w:firstLine="0"/>
              <w:jc w:val="center"/>
              <w:rPr>
                <w:rFonts w:hAnsi="宋体"/>
                <w:sz w:val="21"/>
                <w:szCs w:val="21"/>
              </w:rPr>
            </w:pPr>
          </w:p>
        </w:tc>
        <w:tc>
          <w:tcPr>
            <w:tcW w:w="2835" w:type="dxa"/>
            <w:tcBorders>
              <w:bottom w:val="single" w:color="auto" w:sz="4" w:space="0"/>
            </w:tcBorders>
          </w:tcPr>
          <w:p w14:paraId="61C1BA7E">
            <w:pPr>
              <w:pStyle w:val="29"/>
              <w:spacing w:line="320" w:lineRule="exact"/>
              <w:ind w:firstLine="0"/>
              <w:jc w:val="center"/>
              <w:rPr>
                <w:rFonts w:hAnsi="宋体"/>
                <w:sz w:val="21"/>
                <w:szCs w:val="21"/>
              </w:rPr>
            </w:pPr>
            <w:r>
              <w:rPr>
                <w:rFonts w:hint="eastAsia" w:hAnsi="宋体"/>
                <w:sz w:val="21"/>
                <w:szCs w:val="21"/>
              </w:rPr>
              <w:t>36%</w:t>
            </w:r>
            <w:r>
              <w:rPr>
                <w:rFonts w:hAnsi="宋体"/>
                <w:sz w:val="21"/>
                <w:szCs w:val="21"/>
              </w:rPr>
              <w:t>甲基硫菌灵</w:t>
            </w:r>
            <w:r>
              <w:rPr>
                <w:rFonts w:hint="eastAsia" w:hAnsi="宋体"/>
                <w:sz w:val="21"/>
                <w:szCs w:val="21"/>
              </w:rPr>
              <w:t>悬浮剂</w:t>
            </w:r>
          </w:p>
        </w:tc>
        <w:tc>
          <w:tcPr>
            <w:tcW w:w="1843" w:type="dxa"/>
            <w:vAlign w:val="center"/>
          </w:tcPr>
          <w:p w14:paraId="3A6EBC97">
            <w:pPr>
              <w:pStyle w:val="29"/>
              <w:spacing w:line="320" w:lineRule="exact"/>
              <w:ind w:firstLine="0"/>
              <w:jc w:val="center"/>
              <w:rPr>
                <w:rFonts w:hAnsi="宋体"/>
                <w:sz w:val="21"/>
                <w:szCs w:val="21"/>
              </w:rPr>
            </w:pPr>
            <w:r>
              <w:rPr>
                <w:rFonts w:hint="eastAsia" w:hAnsi="宋体"/>
                <w:sz w:val="21"/>
                <w:szCs w:val="21"/>
              </w:rPr>
              <w:t>800倍液</w:t>
            </w:r>
          </w:p>
        </w:tc>
        <w:tc>
          <w:tcPr>
            <w:tcW w:w="709" w:type="dxa"/>
            <w:vAlign w:val="center"/>
          </w:tcPr>
          <w:p w14:paraId="0DC3E408">
            <w:pPr>
              <w:pStyle w:val="29"/>
              <w:spacing w:line="320" w:lineRule="exact"/>
              <w:ind w:firstLine="0"/>
              <w:jc w:val="center"/>
              <w:rPr>
                <w:rFonts w:hAnsi="宋体"/>
                <w:sz w:val="21"/>
                <w:szCs w:val="21"/>
              </w:rPr>
            </w:pPr>
            <w:r>
              <w:rPr>
                <w:rFonts w:hint="eastAsia" w:hAnsi="宋体"/>
                <w:sz w:val="21"/>
                <w:szCs w:val="21"/>
              </w:rPr>
              <w:t>浸果</w:t>
            </w:r>
          </w:p>
        </w:tc>
        <w:tc>
          <w:tcPr>
            <w:tcW w:w="992" w:type="dxa"/>
            <w:vAlign w:val="center"/>
          </w:tcPr>
          <w:p w14:paraId="1186A748">
            <w:pPr>
              <w:pStyle w:val="29"/>
              <w:spacing w:line="320" w:lineRule="exact"/>
              <w:ind w:firstLine="0"/>
              <w:jc w:val="center"/>
              <w:rPr>
                <w:rFonts w:hAnsi="宋体"/>
                <w:sz w:val="21"/>
                <w:szCs w:val="21"/>
              </w:rPr>
            </w:pPr>
          </w:p>
        </w:tc>
      </w:tr>
      <w:tr w14:paraId="74909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2" w:type="dxa"/>
            <w:gridSpan w:val="6"/>
            <w:vAlign w:val="center"/>
          </w:tcPr>
          <w:p w14:paraId="22CEF614">
            <w:pPr>
              <w:pStyle w:val="29"/>
              <w:spacing w:line="320" w:lineRule="exact"/>
              <w:ind w:firstLine="0"/>
              <w:jc w:val="left"/>
              <w:rPr>
                <w:rFonts w:ascii="黑体" w:hAnsi="黑体" w:eastAsia="黑体"/>
                <w:sz w:val="18"/>
                <w:szCs w:val="21"/>
              </w:rPr>
            </w:pPr>
            <w:r>
              <w:rPr>
                <w:rFonts w:hint="eastAsia" w:ascii="黑体" w:hAnsi="黑体" w:eastAsia="黑体"/>
                <w:sz w:val="18"/>
                <w:szCs w:val="21"/>
              </w:rPr>
              <w:t>注：农药使用以最新版本NY/T 393的规定为准。</w:t>
            </w:r>
          </w:p>
        </w:tc>
      </w:tr>
    </w:tbl>
    <w:p w14:paraId="043E4DA1">
      <w:pPr>
        <w:widowControl/>
        <w:jc w:val="left"/>
      </w:pPr>
      <w:r>
        <w:br w:type="page"/>
      </w:r>
    </w:p>
    <w:p w14:paraId="2E1591F0">
      <w:pPr>
        <w:jc w:val="center"/>
        <w:rPr>
          <w:rFonts w:ascii="黑体" w:hAnsi="黑体" w:eastAsia="黑体"/>
          <w:sz w:val="24"/>
          <w:szCs w:val="24"/>
        </w:rPr>
      </w:pPr>
      <w:r>
        <w:rPr>
          <w:rFonts w:hint="eastAsia" w:ascii="黑体" w:hAnsi="黑体" w:eastAsia="黑体"/>
          <w:sz w:val="24"/>
          <w:szCs w:val="24"/>
        </w:rPr>
        <w:t>附 录B</w:t>
      </w:r>
    </w:p>
    <w:p w14:paraId="68ABB968">
      <w:pPr>
        <w:jc w:val="center"/>
        <w:rPr>
          <w:rFonts w:ascii="黑体" w:hAnsi="黑体" w:eastAsia="黑体"/>
          <w:sz w:val="24"/>
          <w:szCs w:val="24"/>
        </w:rPr>
      </w:pPr>
      <w:r>
        <w:rPr>
          <w:rFonts w:hint="eastAsia" w:ascii="黑体" w:hAnsi="黑体" w:eastAsia="黑体"/>
          <w:sz w:val="24"/>
          <w:szCs w:val="24"/>
        </w:rPr>
        <w:t>（资料性附录）</w:t>
      </w:r>
    </w:p>
    <w:p w14:paraId="1C5CACD6">
      <w:pPr>
        <w:jc w:val="center"/>
        <w:rPr>
          <w:rFonts w:ascii="黑体" w:hAnsi="黑体" w:eastAsia="黑体"/>
          <w:sz w:val="24"/>
          <w:szCs w:val="24"/>
        </w:rPr>
      </w:pPr>
      <w:r>
        <w:rPr>
          <w:rFonts w:hint="eastAsia" w:ascii="黑体" w:hAnsi="黑体" w:eastAsia="黑体"/>
          <w:sz w:val="24"/>
          <w:szCs w:val="24"/>
        </w:rPr>
        <w:t>团体标准修改单</w:t>
      </w:r>
    </w:p>
    <w:p w14:paraId="580E954F">
      <w:pPr>
        <w:spacing w:before="240"/>
        <w:jc w:val="center"/>
        <w:rPr>
          <w:rFonts w:ascii="黑体" w:hAnsi="黑体" w:eastAsia="黑体"/>
          <w:sz w:val="24"/>
          <w:szCs w:val="24"/>
        </w:rPr>
      </w:pPr>
      <w:r>
        <w:rPr>
          <w:rFonts w:hint="eastAsia" w:ascii="黑体" w:hAnsi="黑体" w:eastAsia="黑体"/>
          <w:sz w:val="24"/>
          <w:szCs w:val="24"/>
        </w:rPr>
        <w:t>绿色食品生产资料 长江上中游甜橙生产操作规程</w:t>
      </w:r>
    </w:p>
    <w:p w14:paraId="5E083130">
      <w:pPr>
        <w:jc w:val="center"/>
        <w:rPr>
          <w:rFonts w:ascii="黑体" w:hAnsi="黑体" w:eastAsia="黑体"/>
          <w:sz w:val="24"/>
          <w:szCs w:val="24"/>
        </w:rPr>
      </w:pPr>
      <w:r>
        <w:rPr>
          <w:rFonts w:hint="eastAsia" w:ascii="黑体" w:hAnsi="黑体" w:eastAsia="黑体"/>
          <w:sz w:val="24"/>
          <w:szCs w:val="24"/>
        </w:rPr>
        <w:t>第XX号修改单</w:t>
      </w:r>
    </w:p>
    <w:p w14:paraId="54A7208F">
      <w:pPr>
        <w:jc w:val="center"/>
        <w:rPr>
          <w:rFonts w:ascii="黑体" w:hAnsi="黑体" w:eastAsia="黑体"/>
          <w:sz w:val="24"/>
          <w:szCs w:val="24"/>
        </w:rPr>
      </w:pPr>
    </w:p>
    <w:p w14:paraId="32C8ED2E">
      <w:pPr>
        <w:widowControl/>
        <w:ind w:firstLine="400" w:firstLineChars="200"/>
        <w:jc w:val="left"/>
      </w:pPr>
      <w:r>
        <w:rPr>
          <w:rFonts w:hint="eastAsia" w:ascii="宋体" w:hAnsi="宋体" w:eastAsia="宋体" w:cs="宋体"/>
          <w:kern w:val="0"/>
          <w:sz w:val="20"/>
          <w:szCs w:val="20"/>
        </w:rPr>
        <w:t xml:space="preserve">本修改单经中国绿色食品协会于××××年××月××日批准，自××××年×× </w:t>
      </w:r>
    </w:p>
    <w:p w14:paraId="27192A5F">
      <w:pPr>
        <w:widowControl/>
        <w:jc w:val="left"/>
      </w:pPr>
      <w:r>
        <w:rPr>
          <w:rFonts w:hint="eastAsia" w:ascii="宋体" w:hAnsi="宋体" w:eastAsia="宋体" w:cs="宋体"/>
          <w:kern w:val="0"/>
          <w:sz w:val="20"/>
          <w:szCs w:val="20"/>
        </w:rPr>
        <w:t xml:space="preserve">月××日起实施。 </w:t>
      </w:r>
    </w:p>
    <w:p w14:paraId="62D77272">
      <w:pPr>
        <w:widowControl/>
        <w:jc w:val="left"/>
        <w:rPr>
          <w:rFonts w:ascii="宋体" w:hAnsi="宋体" w:eastAsia="宋体" w:cs="宋体"/>
          <w:szCs w:val="21"/>
        </w:rPr>
      </w:pPr>
    </w:p>
    <w:p w14:paraId="6761AD69">
      <w:pPr>
        <w:widowControl/>
        <w:numPr>
          <w:ilvl w:val="255"/>
          <w:numId w:val="0"/>
        </w:numPr>
        <w:jc w:val="left"/>
        <w:rPr>
          <w:rFonts w:ascii="宋体" w:hAnsi="宋体" w:eastAsia="宋体" w:cs="宋体"/>
          <w:szCs w:val="21"/>
        </w:rPr>
      </w:pPr>
      <w:r>
        <w:rPr>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532003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2pt;margin-top:10.9pt;height:0pt;width:418.9pt;z-index:251659264;mso-width-relative:page;mso-height-relative:page;" filled="f" stroked="t" coordsize="21600,21600" o:gfxdata="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wF5F1gAA&#10;AAcBAAAPAAAAAAAAAAEAIAAAACIAAABkcnMvZG93bnJldi54bWxQSwECFAAUAAAACACHTuJAONSQ&#10;+ecBAADAAwAADgAAAAAAAAABACAAAAAlAQAAZHJzL2Uyb0RvYy54bWxQSwUGAAAAAAYABgBZAQAA&#10;fgUAAAAA&#10;">
                <v:fill on="f" focussize="0,0"/>
                <v:stroke weight="1pt" color="#000000" miterlimit="8" joinstyle="miter"/>
                <v:imagedata o:title=""/>
                <o:lock v:ext="edit" aspectratio="f"/>
              </v:line>
            </w:pict>
          </mc:Fallback>
        </mc:AlternateContent>
      </w:r>
    </w:p>
    <w:p w14:paraId="6CF9C7E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6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1FF"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30E7">
    <w:pPr>
      <w:jc w:val="right"/>
      <w:rPr>
        <w:rFonts w:hint="eastAsia" w:ascii="黑体" w:hAnsi="黑体" w:eastAsia="黑体"/>
        <w:szCs w:val="21"/>
        <w:lang w:eastAsia="zh-CN"/>
      </w:rPr>
    </w:pPr>
    <w:r>
      <w:rPr>
        <w:rFonts w:hint="eastAsia" w:ascii="黑体" w:hAnsi="黑体" w:eastAsia="黑体"/>
        <w:szCs w:val="21"/>
      </w:rPr>
      <w:t>T/CGFA00</w:t>
    </w:r>
    <w:r>
      <w:rPr>
        <w:rFonts w:hint="eastAsia" w:ascii="黑体" w:hAnsi="黑体" w:eastAsia="黑体"/>
        <w:szCs w:val="21"/>
        <w:lang w:val="en-US" w:eastAsia="zh-CN"/>
      </w:rPr>
      <w:t>0</w:t>
    </w:r>
    <w:r>
      <w:rPr>
        <w:rFonts w:hint="eastAsia" w:ascii="黑体" w:hAnsi="黑体" w:eastAsia="黑体"/>
        <w:szCs w:val="21"/>
      </w:rPr>
      <w:t>-202</w:t>
    </w:r>
    <w:r>
      <w:rPr>
        <w:rFonts w:hint="eastAsia" w:ascii="黑体" w:hAnsi="黑体" w:eastAsia="黑体"/>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126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1"/>
      <w:suff w:val="nothing"/>
      <w:lvlText w:val="%1.%2.%3　"/>
      <w:lvlJc w:val="left"/>
      <w:pPr>
        <w:ind w:left="840" w:firstLine="0"/>
      </w:pPr>
      <w:rPr>
        <w:rFonts w:hint="eastAsia" w:ascii="黑体" w:hAnsi="Times New Roman" w:eastAsia="黑体"/>
        <w:b w:val="0"/>
        <w:i w:val="0"/>
        <w:sz w:val="21"/>
      </w:rPr>
    </w:lvl>
    <w:lvl w:ilvl="3" w:tentative="0">
      <w:start w:val="1"/>
      <w:numFmt w:val="decimal"/>
      <w:pStyle w:val="30"/>
      <w:suff w:val="nothing"/>
      <w:lvlText w:val="%1.%2.%3.%4　"/>
      <w:lvlJc w:val="left"/>
      <w:pPr>
        <w:ind w:left="115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DC25BF7"/>
    <w:multiLevelType w:val="multilevel"/>
    <w:tmpl w:val="4DC25BF7"/>
    <w:lvl w:ilvl="0" w:tentative="0">
      <w:start w:val="1"/>
      <w:numFmt w:val="decimal"/>
      <w:pStyle w:val="2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4540C"/>
    <w:rsid w:val="00064EC8"/>
    <w:rsid w:val="000E7F73"/>
    <w:rsid w:val="001013B8"/>
    <w:rsid w:val="00167E00"/>
    <w:rsid w:val="00184E5C"/>
    <w:rsid w:val="001A6AB4"/>
    <w:rsid w:val="001F7E4A"/>
    <w:rsid w:val="00211749"/>
    <w:rsid w:val="00221E93"/>
    <w:rsid w:val="00272BBF"/>
    <w:rsid w:val="002A62A3"/>
    <w:rsid w:val="002B7D3F"/>
    <w:rsid w:val="002C22C2"/>
    <w:rsid w:val="003025CE"/>
    <w:rsid w:val="00323CAE"/>
    <w:rsid w:val="00380396"/>
    <w:rsid w:val="003C385A"/>
    <w:rsid w:val="003D42E2"/>
    <w:rsid w:val="003F1F68"/>
    <w:rsid w:val="00413BD5"/>
    <w:rsid w:val="0047357B"/>
    <w:rsid w:val="00487DCC"/>
    <w:rsid w:val="004C517D"/>
    <w:rsid w:val="00500138"/>
    <w:rsid w:val="00503376"/>
    <w:rsid w:val="005123DE"/>
    <w:rsid w:val="00534AB1"/>
    <w:rsid w:val="00550656"/>
    <w:rsid w:val="00561350"/>
    <w:rsid w:val="005613F2"/>
    <w:rsid w:val="005A4DC7"/>
    <w:rsid w:val="0060494B"/>
    <w:rsid w:val="0062693E"/>
    <w:rsid w:val="00630E24"/>
    <w:rsid w:val="00685EA9"/>
    <w:rsid w:val="006B251A"/>
    <w:rsid w:val="006D24F9"/>
    <w:rsid w:val="006E0E7F"/>
    <w:rsid w:val="006F22C7"/>
    <w:rsid w:val="006F5340"/>
    <w:rsid w:val="00713CC6"/>
    <w:rsid w:val="00714900"/>
    <w:rsid w:val="0074527F"/>
    <w:rsid w:val="00775345"/>
    <w:rsid w:val="00783B78"/>
    <w:rsid w:val="008436D3"/>
    <w:rsid w:val="008E34E8"/>
    <w:rsid w:val="008F1F6B"/>
    <w:rsid w:val="00904089"/>
    <w:rsid w:val="0092492A"/>
    <w:rsid w:val="009378B1"/>
    <w:rsid w:val="009548DB"/>
    <w:rsid w:val="009E7A93"/>
    <w:rsid w:val="00A27E0E"/>
    <w:rsid w:val="00A67B7D"/>
    <w:rsid w:val="00AB5AE1"/>
    <w:rsid w:val="00AC386B"/>
    <w:rsid w:val="00B10096"/>
    <w:rsid w:val="00B1402C"/>
    <w:rsid w:val="00BA20F5"/>
    <w:rsid w:val="00BC6AD2"/>
    <w:rsid w:val="00C0578E"/>
    <w:rsid w:val="00C126C0"/>
    <w:rsid w:val="00C86853"/>
    <w:rsid w:val="00CE0A16"/>
    <w:rsid w:val="00CE0F5D"/>
    <w:rsid w:val="00CF76F6"/>
    <w:rsid w:val="00D23DA7"/>
    <w:rsid w:val="00D24F94"/>
    <w:rsid w:val="00D5795F"/>
    <w:rsid w:val="00E04DAF"/>
    <w:rsid w:val="00E4022C"/>
    <w:rsid w:val="00E719DE"/>
    <w:rsid w:val="00E72A55"/>
    <w:rsid w:val="00E9181A"/>
    <w:rsid w:val="00F00520"/>
    <w:rsid w:val="00F25705"/>
    <w:rsid w:val="00F747A1"/>
    <w:rsid w:val="00F92361"/>
    <w:rsid w:val="00FD550A"/>
    <w:rsid w:val="00FE5DBC"/>
    <w:rsid w:val="00FE6ECC"/>
    <w:rsid w:val="02ED7EC0"/>
    <w:rsid w:val="03231B33"/>
    <w:rsid w:val="039667A9"/>
    <w:rsid w:val="0575419C"/>
    <w:rsid w:val="05791EDF"/>
    <w:rsid w:val="06CE70B8"/>
    <w:rsid w:val="07261BF2"/>
    <w:rsid w:val="07660241"/>
    <w:rsid w:val="07D653C6"/>
    <w:rsid w:val="091F2D9D"/>
    <w:rsid w:val="0A412F2D"/>
    <w:rsid w:val="0A5B7E05"/>
    <w:rsid w:val="0A7D421F"/>
    <w:rsid w:val="0AA01CBB"/>
    <w:rsid w:val="0ABB6AF5"/>
    <w:rsid w:val="0D002EE5"/>
    <w:rsid w:val="0D8E6743"/>
    <w:rsid w:val="0DDD6D83"/>
    <w:rsid w:val="0EF44384"/>
    <w:rsid w:val="0F977B31"/>
    <w:rsid w:val="0F9A4F2B"/>
    <w:rsid w:val="0FAF717F"/>
    <w:rsid w:val="103B4960"/>
    <w:rsid w:val="12C14EC5"/>
    <w:rsid w:val="13675A6C"/>
    <w:rsid w:val="14F72CD4"/>
    <w:rsid w:val="16A550C0"/>
    <w:rsid w:val="17681DB3"/>
    <w:rsid w:val="17984446"/>
    <w:rsid w:val="19045B0B"/>
    <w:rsid w:val="1A50725A"/>
    <w:rsid w:val="1ABB0818"/>
    <w:rsid w:val="1B685637"/>
    <w:rsid w:val="1BAA0BEC"/>
    <w:rsid w:val="1C8E164C"/>
    <w:rsid w:val="1D1F47AD"/>
    <w:rsid w:val="1E0210EB"/>
    <w:rsid w:val="1E1278FC"/>
    <w:rsid w:val="1E791675"/>
    <w:rsid w:val="1EA26CAD"/>
    <w:rsid w:val="1EE73F05"/>
    <w:rsid w:val="1F6742F8"/>
    <w:rsid w:val="1FF02946"/>
    <w:rsid w:val="21521B0A"/>
    <w:rsid w:val="21B300CF"/>
    <w:rsid w:val="21C7063D"/>
    <w:rsid w:val="221C5C74"/>
    <w:rsid w:val="224C47AB"/>
    <w:rsid w:val="23B24AE2"/>
    <w:rsid w:val="244A1145"/>
    <w:rsid w:val="25F80BEF"/>
    <w:rsid w:val="26C30CEC"/>
    <w:rsid w:val="26F45411"/>
    <w:rsid w:val="271D1824"/>
    <w:rsid w:val="28153891"/>
    <w:rsid w:val="2A3873C3"/>
    <w:rsid w:val="2A7E3970"/>
    <w:rsid w:val="2AA84549"/>
    <w:rsid w:val="2B0F4649"/>
    <w:rsid w:val="2C8608B9"/>
    <w:rsid w:val="2CE61358"/>
    <w:rsid w:val="2D214A86"/>
    <w:rsid w:val="2DCF003E"/>
    <w:rsid w:val="2EC658E5"/>
    <w:rsid w:val="2FD302BA"/>
    <w:rsid w:val="2FDE6C5E"/>
    <w:rsid w:val="2FE73D65"/>
    <w:rsid w:val="30896BCA"/>
    <w:rsid w:val="317433D6"/>
    <w:rsid w:val="3293788C"/>
    <w:rsid w:val="32D6521C"/>
    <w:rsid w:val="35C80195"/>
    <w:rsid w:val="361D1FA0"/>
    <w:rsid w:val="36592B9B"/>
    <w:rsid w:val="37797999"/>
    <w:rsid w:val="3787198A"/>
    <w:rsid w:val="380134EA"/>
    <w:rsid w:val="39916AF0"/>
    <w:rsid w:val="3A15327D"/>
    <w:rsid w:val="3ACE7FFB"/>
    <w:rsid w:val="3AFA0DF0"/>
    <w:rsid w:val="3B381919"/>
    <w:rsid w:val="3B4C7172"/>
    <w:rsid w:val="3CFC58ED"/>
    <w:rsid w:val="3D587AC8"/>
    <w:rsid w:val="3D7824A0"/>
    <w:rsid w:val="3D923A95"/>
    <w:rsid w:val="3F4A7E6C"/>
    <w:rsid w:val="3FAC01DF"/>
    <w:rsid w:val="3FD705F1"/>
    <w:rsid w:val="3FF1653A"/>
    <w:rsid w:val="400D3374"/>
    <w:rsid w:val="41BB4A1A"/>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E8259F"/>
    <w:rsid w:val="4CC528E0"/>
    <w:rsid w:val="4DB01E61"/>
    <w:rsid w:val="4F42290E"/>
    <w:rsid w:val="50816CB4"/>
    <w:rsid w:val="508A00C9"/>
    <w:rsid w:val="50EB11F0"/>
    <w:rsid w:val="50EC48E0"/>
    <w:rsid w:val="53071EA5"/>
    <w:rsid w:val="530C3017"/>
    <w:rsid w:val="53837A1F"/>
    <w:rsid w:val="53DC22CC"/>
    <w:rsid w:val="54AB7A0C"/>
    <w:rsid w:val="55052414"/>
    <w:rsid w:val="55717AA9"/>
    <w:rsid w:val="558772CD"/>
    <w:rsid w:val="56BC6B02"/>
    <w:rsid w:val="56C1680E"/>
    <w:rsid w:val="591E5852"/>
    <w:rsid w:val="59633BAD"/>
    <w:rsid w:val="5A1D3D5C"/>
    <w:rsid w:val="5A865DA5"/>
    <w:rsid w:val="5B5C4D58"/>
    <w:rsid w:val="5B9B13DC"/>
    <w:rsid w:val="5BD82630"/>
    <w:rsid w:val="5DBA5211"/>
    <w:rsid w:val="5E7303EE"/>
    <w:rsid w:val="5ED13367"/>
    <w:rsid w:val="5F0059FA"/>
    <w:rsid w:val="5F78AF6A"/>
    <w:rsid w:val="6363332A"/>
    <w:rsid w:val="63B514A9"/>
    <w:rsid w:val="63FA5A12"/>
    <w:rsid w:val="64AFC870"/>
    <w:rsid w:val="64DF4A2F"/>
    <w:rsid w:val="68003F7B"/>
    <w:rsid w:val="6832131A"/>
    <w:rsid w:val="697B45FB"/>
    <w:rsid w:val="6A745C1A"/>
    <w:rsid w:val="6BD13FFF"/>
    <w:rsid w:val="6C066D46"/>
    <w:rsid w:val="6C3F7360"/>
    <w:rsid w:val="6CBA7B30"/>
    <w:rsid w:val="6D12171A"/>
    <w:rsid w:val="6D3276C6"/>
    <w:rsid w:val="6DE035C6"/>
    <w:rsid w:val="6E239581"/>
    <w:rsid w:val="712B39A2"/>
    <w:rsid w:val="71436346"/>
    <w:rsid w:val="721B4BCD"/>
    <w:rsid w:val="72271C00"/>
    <w:rsid w:val="72C139C6"/>
    <w:rsid w:val="74CE598A"/>
    <w:rsid w:val="74F1000A"/>
    <w:rsid w:val="7524053F"/>
    <w:rsid w:val="75834F63"/>
    <w:rsid w:val="775A7F45"/>
    <w:rsid w:val="778C23F0"/>
    <w:rsid w:val="77DA4BE2"/>
    <w:rsid w:val="783764D9"/>
    <w:rsid w:val="784339AA"/>
    <w:rsid w:val="787B0173"/>
    <w:rsid w:val="79030169"/>
    <w:rsid w:val="79F2235B"/>
    <w:rsid w:val="7A2111EE"/>
    <w:rsid w:val="7CBE2D25"/>
    <w:rsid w:val="7CE3278B"/>
    <w:rsid w:val="7D494CE4"/>
    <w:rsid w:val="7DED1B13"/>
    <w:rsid w:val="7EA5921F"/>
    <w:rsid w:val="7FB1091F"/>
    <w:rsid w:val="7FBB354B"/>
    <w:rsid w:val="7FFFE449"/>
    <w:rsid w:val="BFDFDCF2"/>
    <w:rsid w:val="FFBFB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Plain Text"/>
    <w:basedOn w:val="1"/>
    <w:qFormat/>
    <w:uiPriority w:val="0"/>
    <w:rPr>
      <w:rFonts w:ascii="宋体" w:hAnsi="Courier"/>
      <w:b/>
      <w:kern w:val="0"/>
      <w:sz w:val="20"/>
      <w:szCs w:val="20"/>
    </w:r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日期 Char"/>
    <w:basedOn w:val="11"/>
    <w:link w:val="5"/>
    <w:semiHidden/>
    <w:qFormat/>
    <w:uiPriority w:val="99"/>
    <w:rPr>
      <w:kern w:val="2"/>
      <w:sz w:val="21"/>
      <w:szCs w:val="22"/>
    </w:rPr>
  </w:style>
  <w:style w:type="character" w:customStyle="1" w:styleId="15">
    <w:name w:val="批注框文本 Char"/>
    <w:basedOn w:val="11"/>
    <w:link w:val="6"/>
    <w:semiHidden/>
    <w:qFormat/>
    <w:uiPriority w:val="99"/>
    <w:rPr>
      <w:kern w:val="2"/>
      <w:sz w:val="18"/>
      <w:szCs w:val="18"/>
    </w:rPr>
  </w:style>
  <w:style w:type="paragraph" w:customStyle="1" w:styleId="16">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7">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8">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19">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0">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1">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2">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3">
    <w:name w:val="批注文字 Char"/>
    <w:basedOn w:val="11"/>
    <w:link w:val="3"/>
    <w:qFormat/>
    <w:uiPriority w:val="99"/>
    <w:rPr>
      <w:kern w:val="2"/>
      <w:sz w:val="21"/>
      <w:szCs w:val="22"/>
    </w:rPr>
  </w:style>
  <w:style w:type="paragraph" w:customStyle="1" w:styleId="24">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5">
    <w:name w:val="页眉 Char"/>
    <w:basedOn w:val="11"/>
    <w:link w:val="8"/>
    <w:qFormat/>
    <w:uiPriority w:val="99"/>
    <w:rPr>
      <w:kern w:val="2"/>
      <w:sz w:val="18"/>
      <w:szCs w:val="18"/>
    </w:rPr>
  </w:style>
  <w:style w:type="character" w:customStyle="1" w:styleId="26">
    <w:name w:val="页脚 Char"/>
    <w:basedOn w:val="11"/>
    <w:link w:val="7"/>
    <w:qFormat/>
    <w:uiPriority w:val="99"/>
    <w:rPr>
      <w:kern w:val="2"/>
      <w:sz w:val="18"/>
      <w:szCs w:val="18"/>
    </w:rPr>
  </w:style>
  <w:style w:type="character" w:customStyle="1" w:styleId="27">
    <w:name w:val="标题 4 Char"/>
    <w:basedOn w:val="11"/>
    <w:link w:val="2"/>
    <w:qFormat/>
    <w:uiPriority w:val="9"/>
    <w:rPr>
      <w:rFonts w:ascii="宋体" w:hAnsi="宋体" w:eastAsia="宋体" w:cs="宋体"/>
      <w:b/>
      <w:bCs/>
      <w:sz w:val="24"/>
      <w:szCs w:val="24"/>
    </w:rPr>
  </w:style>
  <w:style w:type="paragraph" w:customStyle="1" w:styleId="28">
    <w:name w:val="列出段落1"/>
    <w:basedOn w:val="1"/>
    <w:qFormat/>
    <w:uiPriority w:val="0"/>
    <w:pPr>
      <w:ind w:firstLine="420" w:firstLineChars="200"/>
    </w:pPr>
    <w:rPr>
      <w:rFonts w:ascii="Times New Roman" w:hAnsi="Times New Roman" w:eastAsia="宋体" w:cs="Times New Roman"/>
      <w:szCs w:val="21"/>
    </w:rPr>
  </w:style>
  <w:style w:type="paragraph" w:customStyle="1" w:styleId="29">
    <w:name w:val="段"/>
    <w:qFormat/>
    <w:uiPriority w:val="0"/>
    <w:pPr>
      <w:autoSpaceDE w:val="0"/>
      <w:autoSpaceDN w:val="0"/>
      <w:adjustRightInd w:val="0"/>
      <w:ind w:firstLine="200"/>
      <w:jc w:val="both"/>
      <w:textAlignment w:val="baseline"/>
    </w:pPr>
    <w:rPr>
      <w:rFonts w:ascii="宋体" w:hAnsi="Times New Roman" w:eastAsia="宋体" w:cs="Times New Roman"/>
      <w:lang w:val="en-US" w:eastAsia="zh-CN" w:bidi="ar-SA"/>
    </w:rPr>
  </w:style>
  <w:style w:type="paragraph" w:customStyle="1" w:styleId="30">
    <w:name w:val="三级条标题"/>
    <w:basedOn w:val="31"/>
    <w:next w:val="29"/>
    <w:qFormat/>
    <w:uiPriority w:val="0"/>
    <w:pPr>
      <w:numPr>
        <w:ilvl w:val="3"/>
      </w:numPr>
      <w:outlineLvl w:val="4"/>
    </w:pPr>
  </w:style>
  <w:style w:type="paragraph" w:customStyle="1" w:styleId="31">
    <w:name w:val="二级条标题"/>
    <w:basedOn w:val="32"/>
    <w:next w:val="29"/>
    <w:qFormat/>
    <w:uiPriority w:val="0"/>
    <w:pPr>
      <w:numPr>
        <w:ilvl w:val="2"/>
      </w:numPr>
      <w:spacing w:before="50" w:after="50"/>
      <w:outlineLvl w:val="3"/>
    </w:pPr>
  </w:style>
  <w:style w:type="paragraph" w:customStyle="1" w:styleId="32">
    <w:name w:val="一级条标题"/>
    <w:next w:val="2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6CFE001B6B4908A49B97A3D0411F16"/>
        <w:style w:val=""/>
        <w:category>
          <w:name w:val="常规"/>
          <w:gallery w:val="placeholder"/>
        </w:category>
        <w:types>
          <w:type w:val="bbPlcHdr"/>
        </w:types>
        <w:behaviors>
          <w:behavior w:val="content"/>
        </w:behaviors>
        <w:description w:val=""/>
        <w:guid w:val="{15D72E0A-2F03-4946-8825-834B87BE927C}"/>
      </w:docPartPr>
      <w:docPartBody>
        <w:p w14:paraId="4F0B18E7">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F7C23"/>
    <w:rsid w:val="00026576"/>
    <w:rsid w:val="00072545"/>
    <w:rsid w:val="000E40C3"/>
    <w:rsid w:val="000F3BEE"/>
    <w:rsid w:val="00173C2F"/>
    <w:rsid w:val="00183D10"/>
    <w:rsid w:val="00202063"/>
    <w:rsid w:val="002623E9"/>
    <w:rsid w:val="00674FC1"/>
    <w:rsid w:val="006A6A08"/>
    <w:rsid w:val="0079460D"/>
    <w:rsid w:val="007A2B89"/>
    <w:rsid w:val="00856058"/>
    <w:rsid w:val="008E46D8"/>
    <w:rsid w:val="00944A92"/>
    <w:rsid w:val="00963C2B"/>
    <w:rsid w:val="009A2461"/>
    <w:rsid w:val="00AF7C23"/>
    <w:rsid w:val="00C22B8A"/>
    <w:rsid w:val="00C94A38"/>
    <w:rsid w:val="00D820D2"/>
    <w:rsid w:val="00DE11C6"/>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36CFE001B6B4908A49B97A3D0411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4AF84626E924989A5A6681A72CCE2A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6820</Words>
  <Characters>7928</Characters>
  <Lines>60</Lines>
  <Paragraphs>17</Paragraphs>
  <TotalTime>10</TotalTime>
  <ScaleCrop>false</ScaleCrop>
  <LinksUpToDate>false</LinksUpToDate>
  <CharactersWithSpaces>8119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2024-10-17T02:59:00Z</dcterms:created>
  <dc:creator>志成</dc:creator>
  <cp:lastModifiedBy>房正</cp:lastModifiedBy>
  <dcterms:modified xsi:type="dcterms:W3CDTF">2026-04-15T02:20:04Z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D809D142D5254D4FAECEDB119E1130D7_13</vt:lpwstr>
  </property>
  <property fmtid="{D5CDD505-2E9C-101B-9397-08002B2CF9AE}" pid="4" name="KSOTemplateDocerSaveRecord">
    <vt:lpwstr>eyJoZGlkIjoiMGUyOGZlMzdlZWEyMGFlYzc0ZWE1MGJlZjA4NmY3NTMiLCJ1c2VySWQiOiIyNzM3NDc2MDMifQ==</vt:lpwstr>
  </property>
</Properties>
</file>