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02B0">
      <w:pPr>
        <w:pStyle w:val="19"/>
        <w:framePr w:wrap="around" w:x="1470" w:y="3511"/>
        <w:rPr>
          <w:rFonts w:hint="default" w:eastAsia="黑体"/>
          <w:color w:val="auto"/>
          <w:lang w:val="en-US" w:eastAsia="zh-CN"/>
          <w14:shadow w14:blurRad="50800" w14:dist="38100" w14:dir="2700000" w14:sx="100000" w14:sy="100000" w14:kx="0" w14:ky="0" w14:algn="tl">
            <w14:srgbClr w14:val="000000">
              <w14:alpha w14:val="60000"/>
            </w14:srgbClr>
          </w14:shadow>
        </w:rPr>
      </w:pPr>
      <w:r>
        <w:rPr>
          <w:color w:val="auto"/>
          <w14:shadow w14:blurRad="50800" w14:dist="38100" w14:dir="2700000" w14:sx="100000" w14:sy="100000" w14:kx="0" w14:ky="0" w14:algn="tl">
            <w14:srgbClr w14:val="000000">
              <w14:alpha w14:val="60000"/>
            </w14:srgbClr>
          </w14:shadow>
        </w:rPr>
        <w:t>T/CGFA</w:t>
      </w:r>
      <w:r>
        <w:rPr>
          <w:rFonts w:hint="eastAsia"/>
          <w:color w:val="auto"/>
          <w:lang w:val="en-US" w:eastAsia="zh-CN"/>
          <w14:shadow w14:blurRad="50800" w14:dist="38100" w14:dir="2700000" w14:sx="100000" w14:sy="100000" w14:kx="0" w14:ky="0" w14:algn="tl">
            <w14:srgbClr w14:val="000000">
              <w14:alpha w14:val="60000"/>
            </w14:srgbClr>
          </w14:shadow>
        </w:rPr>
        <w:t>xxx-xxxx</w:t>
      </w:r>
    </w:p>
    <w:p w14:paraId="312ACAA1">
      <w:pPr>
        <w:pStyle w:val="19"/>
        <w:framePr w:wrap="around" w:x="1470" w:y="3511"/>
        <w:rPr>
          <w:rFonts w:hint="default"/>
          <w:color w:val="auto"/>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027B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41" w:type="dxa"/>
            <w:tcBorders>
              <w:top w:val="single" w:color="auto" w:sz="8" w:space="0"/>
            </w:tcBorders>
          </w:tcPr>
          <w:p w14:paraId="4F97AAED">
            <w:pPr>
              <w:pStyle w:val="16"/>
              <w:framePr w:wrap="around"/>
              <w:rPr>
                <w:rFonts w:hint="default"/>
                <w:color w:val="auto"/>
                <w:sz w:val="10"/>
              </w:rPr>
            </w:pPr>
          </w:p>
        </w:tc>
      </w:tr>
    </w:tbl>
    <w:p w14:paraId="7EA9FF4C">
      <w:pPr>
        <w:framePr w:w="9639" w:h="6974" w:hRule="exact" w:wrap="around" w:vAnchor="page" w:hAnchor="page" w:x="1419" w:y="6408"/>
        <w:spacing w:line="560" w:lineRule="exact"/>
        <w:jc w:val="center"/>
        <w:rPr>
          <w:rFonts w:ascii="黑体" w:hAnsi="黑体" w:eastAsia="黑体" w:cs="华文中宋"/>
          <w:bCs/>
          <w:color w:val="auto"/>
          <w:sz w:val="48"/>
          <w:szCs w:val="48"/>
        </w:rPr>
      </w:pPr>
      <w:r>
        <w:rPr>
          <w:rFonts w:hint="eastAsia" w:ascii="黑体" w:hAnsi="黑体" w:eastAsia="黑体" w:cs="华文中宋"/>
          <w:bCs/>
          <w:color w:val="auto"/>
          <w:sz w:val="48"/>
          <w:szCs w:val="48"/>
        </w:rPr>
        <w:t xml:space="preserve">绿色食品 </w:t>
      </w:r>
      <w:r>
        <w:rPr>
          <w:rFonts w:hint="eastAsia" w:ascii="黑体" w:hAnsi="黑体" w:eastAsia="黑体" w:cs="华文中宋"/>
          <w:bCs/>
          <w:color w:val="auto"/>
          <w:sz w:val="48"/>
          <w:szCs w:val="48"/>
          <w:lang w:eastAsia="zh-CN"/>
        </w:rPr>
        <w:t>东北地区大豆</w:t>
      </w:r>
      <w:r>
        <w:rPr>
          <w:rFonts w:hint="eastAsia" w:ascii="黑体" w:hAnsi="黑体" w:eastAsia="黑体" w:cs="华文中宋"/>
          <w:bCs/>
          <w:color w:val="auto"/>
          <w:sz w:val="48"/>
          <w:szCs w:val="48"/>
        </w:rPr>
        <w:t>生产</w:t>
      </w:r>
      <w:r>
        <w:rPr>
          <w:rFonts w:hint="eastAsia" w:ascii="黑体" w:hAnsi="黑体" w:eastAsia="黑体" w:cs="华文中宋"/>
          <w:bCs/>
          <w:color w:val="auto"/>
          <w:sz w:val="48"/>
          <w:szCs w:val="48"/>
          <w:lang w:eastAsia="zh-CN"/>
        </w:rPr>
        <w:t>操作</w:t>
      </w:r>
      <w:r>
        <w:rPr>
          <w:rFonts w:hint="eastAsia" w:ascii="黑体" w:hAnsi="黑体" w:eastAsia="黑体" w:cs="华文中宋"/>
          <w:bCs/>
          <w:color w:val="auto"/>
          <w:sz w:val="48"/>
          <w:szCs w:val="48"/>
        </w:rPr>
        <w:t>规程</w:t>
      </w:r>
    </w:p>
    <w:p w14:paraId="1BEDAF80">
      <w:pPr>
        <w:framePr w:w="9639" w:h="6974" w:hRule="exact" w:wrap="around" w:vAnchor="page" w:hAnchor="page" w:x="1419" w:y="6408"/>
        <w:spacing w:line="560" w:lineRule="exact"/>
        <w:jc w:val="center"/>
        <w:rPr>
          <w:rFonts w:hint="default" w:ascii="Times New Roman" w:hAnsi="Times New Roman" w:eastAsia="华文中宋" w:cs="Times New Roman"/>
          <w:color w:val="auto"/>
          <w:sz w:val="24"/>
          <w:szCs w:val="24"/>
          <w:lang w:val="en-US" w:eastAsia="zh-CN"/>
        </w:rPr>
      </w:pPr>
      <w:r>
        <w:rPr>
          <w:rFonts w:ascii="Times New Roman" w:hAnsi="Times New Roman" w:eastAsia="华文中宋" w:cs="Times New Roman"/>
          <w:bCs/>
          <w:color w:val="auto"/>
          <w:sz w:val="24"/>
          <w:szCs w:val="24"/>
        </w:rPr>
        <w:t>Green Food</w:t>
      </w:r>
      <w:r>
        <w:rPr>
          <w:rFonts w:hint="eastAsia" w:ascii="Times New Roman" w:hAnsi="Times New Roman" w:eastAsia="华文中宋" w:cs="Times New Roman"/>
          <w:bCs/>
          <w:color w:val="auto"/>
          <w:sz w:val="24"/>
          <w:szCs w:val="24"/>
          <w:lang w:val="en-US" w:eastAsia="zh-CN"/>
        </w:rPr>
        <w:t xml:space="preserve"> Code of Practice for</w:t>
      </w:r>
      <w:r>
        <w:rPr>
          <w:rFonts w:hint="default" w:ascii="Times New Roman" w:hAnsi="Times New Roman" w:eastAsia="华文中宋" w:cs="Times New Roman"/>
          <w:bCs/>
          <w:color w:val="auto"/>
          <w:sz w:val="24"/>
          <w:szCs w:val="24"/>
          <w:lang w:val="en-US" w:eastAsia="zh-CN"/>
        </w:rPr>
        <w:t xml:space="preserve"> </w:t>
      </w:r>
      <w:r>
        <w:rPr>
          <w:rFonts w:hint="default" w:ascii="Times New Roman" w:hAnsi="Times New Roman" w:eastAsia="宋体" w:cs="Times New Roman"/>
          <w:color w:val="auto"/>
          <w:kern w:val="0"/>
          <w:sz w:val="24"/>
          <w:szCs w:val="24"/>
          <w:lang w:val="en-US" w:eastAsia="zh-CN" w:bidi="ar"/>
        </w:rPr>
        <w:t>Soybean Production in Northeast China</w:t>
      </w:r>
    </w:p>
    <w:p w14:paraId="607CEF01">
      <w:pPr>
        <w:pStyle w:val="20"/>
        <w:framePr w:wrap="around"/>
        <w:rPr>
          <w:rFonts w:hint="default"/>
          <w:color w:val="auto"/>
        </w:rPr>
      </w:pPr>
    </w:p>
    <w:p w14:paraId="68225CFF">
      <w:pPr>
        <w:pStyle w:val="20"/>
        <w:framePr w:wrap="around"/>
        <w:rPr>
          <w:rFonts w:hint="eastAsia" w:eastAsia="黑体"/>
          <w:color w:val="auto"/>
          <w:sz w:val="36"/>
          <w:szCs w:val="22"/>
          <w:lang w:eastAsia="zh-CN"/>
        </w:rPr>
      </w:pPr>
      <w:r>
        <w:rPr>
          <w:rFonts w:hint="eastAsia"/>
          <w:color w:val="auto"/>
          <w:sz w:val="36"/>
          <w:szCs w:val="22"/>
          <w:lang w:eastAsia="zh-CN"/>
        </w:rPr>
        <w:t>（</w:t>
      </w:r>
      <w:r>
        <w:rPr>
          <w:rFonts w:hint="eastAsia"/>
          <w:color w:val="auto"/>
          <w:sz w:val="36"/>
          <w:szCs w:val="22"/>
          <w:lang w:val="en-US" w:eastAsia="zh-CN"/>
        </w:rPr>
        <w:t>征求意见稿</w:t>
      </w:r>
      <w:r>
        <w:rPr>
          <w:rFonts w:hint="eastAsia"/>
          <w:color w:val="auto"/>
          <w:sz w:val="36"/>
          <w:szCs w:val="22"/>
          <w:lang w:eastAsia="zh-CN"/>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7A5F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1" w:hRule="exact"/>
        </w:trPr>
        <w:tc>
          <w:tcPr>
            <w:tcW w:w="4974" w:type="dxa"/>
            <w:tcBorders>
              <w:bottom w:val="single" w:color="auto" w:sz="8" w:space="0"/>
            </w:tcBorders>
            <w:tcMar>
              <w:left w:w="57" w:type="dxa"/>
              <w:bottom w:w="28" w:type="dxa"/>
            </w:tcMar>
          </w:tcPr>
          <w:p w14:paraId="4CC7A603">
            <w:pPr>
              <w:pStyle w:val="17"/>
              <w:framePr w:wrap="around"/>
              <w:rPr>
                <w:rFonts w:hint="default"/>
                <w:color w:val="auto"/>
              </w:rPr>
            </w:pPr>
            <w:r>
              <w:rPr>
                <w:color w:val="auto"/>
              </w:rPr>
              <w:t>202</w:t>
            </w:r>
            <w:r>
              <w:rPr>
                <w:rFonts w:hint="eastAsia"/>
                <w:color w:val="auto"/>
                <w:lang w:val="en-US" w:eastAsia="zh-CN"/>
              </w:rPr>
              <w:t>6</w:t>
            </w:r>
            <w:r>
              <w:rPr>
                <w:color w:val="auto"/>
              </w:rPr>
              <w:t xml:space="preserve"> </w:t>
            </w:r>
            <w:r>
              <w:rPr>
                <w:rFonts w:ascii="宋体" w:hAnsi="宋体" w:eastAsia="宋体" w:cs="宋体"/>
                <w:color w:val="auto"/>
              </w:rPr>
              <w:t>–</w:t>
            </w:r>
            <w:r>
              <w:rPr>
                <w:color w:val="auto"/>
              </w:rPr>
              <w:t xml:space="preserve">  </w:t>
            </w:r>
            <w:r>
              <w:rPr>
                <w:rFonts w:ascii="宋体" w:hAnsi="宋体" w:eastAsia="宋体" w:cs="宋体"/>
                <w:color w:val="auto"/>
              </w:rPr>
              <w:t>–</w:t>
            </w:r>
            <w:r>
              <w:rPr>
                <w:rFonts w:hint="eastAsia" w:ascii="宋体" w:hAnsi="宋体" w:eastAsia="宋体" w:cs="宋体"/>
                <w:color w:val="auto"/>
                <w:lang w:val="en-US" w:eastAsia="zh-CN"/>
              </w:rPr>
              <w:t xml:space="preserve"> </w:t>
            </w:r>
            <w:r>
              <w:rPr>
                <w:color w:val="auto"/>
              </w:rPr>
              <w:t>发布</w:t>
            </w:r>
          </w:p>
        </w:tc>
        <w:tc>
          <w:tcPr>
            <w:tcW w:w="5508" w:type="dxa"/>
            <w:tcBorders>
              <w:bottom w:val="single" w:color="auto" w:sz="8" w:space="0"/>
            </w:tcBorders>
            <w:tcMar>
              <w:right w:w="57" w:type="dxa"/>
            </w:tcMar>
          </w:tcPr>
          <w:p w14:paraId="03D8351D">
            <w:pPr>
              <w:pStyle w:val="17"/>
              <w:framePr w:wrap="around"/>
              <w:ind w:right="1120"/>
              <w:jc w:val="right"/>
              <w:rPr>
                <w:rFonts w:hint="default"/>
                <w:color w:val="auto"/>
              </w:rPr>
            </w:pPr>
            <w:r>
              <w:rPr>
                <w:color w:val="auto"/>
              </w:rPr>
              <w:t xml:space="preserve">    202</w:t>
            </w:r>
            <w:r>
              <w:rPr>
                <w:rFonts w:hint="eastAsia"/>
                <w:color w:val="auto"/>
                <w:lang w:val="en-US" w:eastAsia="zh-CN"/>
              </w:rPr>
              <w:t>6</w:t>
            </w:r>
            <w:r>
              <w:rPr>
                <w:color w:val="auto"/>
              </w:rPr>
              <w:t xml:space="preserve"> </w:t>
            </w:r>
            <w:r>
              <w:rPr>
                <w:rFonts w:ascii="宋体" w:hAnsi="宋体" w:eastAsia="宋体" w:cs="宋体"/>
                <w:color w:val="auto"/>
              </w:rPr>
              <w:t>–</w:t>
            </w:r>
            <w:r>
              <w:rPr>
                <w:color w:val="auto"/>
              </w:rPr>
              <w:t xml:space="preserve">  -  实施</w:t>
            </w:r>
          </w:p>
        </w:tc>
      </w:tr>
    </w:tbl>
    <w:p w14:paraId="1FFB20A3">
      <w:pPr>
        <w:framePr w:w="7433" w:h="584" w:hRule="exact" w:hSpace="181" w:vSpace="181" w:wrap="around" w:vAnchor="page" w:hAnchor="margin" w:xAlign="center" w:y="15151" w:anchorLock="1"/>
        <w:widowControl/>
        <w:spacing w:line="0" w:lineRule="atLeast"/>
        <w:jc w:val="center"/>
        <w:rPr>
          <w:rFonts w:ascii="黑体" w:hAnsi="黑体" w:eastAsia="黑体" w:cs="Times New Roman"/>
          <w:color w:val="auto"/>
          <w:kern w:val="0"/>
          <w:sz w:val="44"/>
          <w:szCs w:val="44"/>
        </w:rPr>
      </w:pPr>
      <w:r>
        <w:rPr>
          <w:rFonts w:ascii="黑体" w:hAnsi="黑体" w:eastAsia="黑体" w:cs="Times New Roman"/>
          <w:color w:val="auto"/>
          <w:spacing w:val="20"/>
          <w:kern w:val="0"/>
          <w:sz w:val="44"/>
          <w:szCs w:val="44"/>
        </w:rPr>
        <w:t>中国绿色食品协会</w:t>
      </w:r>
      <w:r>
        <w:rPr>
          <w:rFonts w:ascii="黑体" w:hAnsi="黑体" w:eastAsia="黑体" w:cs="Times New Roman"/>
          <w:color w:val="auto"/>
          <w:kern w:val="0"/>
          <w:sz w:val="44"/>
          <w:szCs w:val="44"/>
        </w:rPr>
        <w:t xml:space="preserve">    </w:t>
      </w:r>
      <w:r>
        <w:rPr>
          <w:rFonts w:ascii="黑体" w:hAnsi="黑体" w:eastAsia="黑体" w:cs="Times New Roman"/>
          <w:color w:val="auto"/>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0"/>
        <w:gridCol w:w="7"/>
      </w:tblGrid>
      <w:tr w14:paraId="0C24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3" w:type="dxa"/>
          </w:tcPr>
          <w:p w14:paraId="6940EA0E">
            <w:pPr>
              <w:pStyle w:val="21"/>
              <w:framePr w:wrap="around"/>
              <w:rPr>
                <w:rFonts w:hint="default"/>
                <w:color w:val="auto"/>
              </w:rPr>
            </w:pPr>
            <w:r>
              <w:rPr>
                <w:color w:val="auto"/>
              </w:rPr>
              <w:t>ICS</w:t>
            </w:r>
          </w:p>
        </w:tc>
        <w:tc>
          <w:tcPr>
            <w:tcW w:w="9107" w:type="dxa"/>
            <w:gridSpan w:val="2"/>
          </w:tcPr>
          <w:p w14:paraId="3010CC27">
            <w:pPr>
              <w:pStyle w:val="21"/>
              <w:framePr w:wrap="around"/>
              <w:rPr>
                <w:rFonts w:hint="default" w:eastAsia="黑体"/>
                <w:color w:val="auto"/>
                <w:lang w:val="en-US" w:eastAsia="zh-CN"/>
              </w:rPr>
            </w:pPr>
          </w:p>
        </w:tc>
      </w:tr>
      <w:tr w14:paraId="7AB0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C9E3C7A">
            <w:pPr>
              <w:pStyle w:val="21"/>
              <w:framePr w:wrap="around"/>
              <w:rPr>
                <w:rFonts w:hint="default"/>
                <w:color w:val="auto"/>
              </w:rPr>
            </w:pPr>
            <w:r>
              <w:rPr>
                <w:color w:val="auto"/>
              </w:rPr>
              <w:t>CCS</w:t>
            </w:r>
          </w:p>
        </w:tc>
        <w:tc>
          <w:tcPr>
            <w:tcW w:w="9107" w:type="dxa"/>
            <w:gridSpan w:val="2"/>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5127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1" w:hRule="atLeast"/>
              </w:trPr>
              <w:tc>
                <w:tcPr>
                  <w:tcW w:w="9107" w:type="dxa"/>
                  <w:vAlign w:val="center"/>
                </w:tcPr>
                <w:p w14:paraId="5F806EF1">
                  <w:pPr>
                    <w:pStyle w:val="21"/>
                    <w:framePr w:wrap="around"/>
                    <w:ind w:firstLine="2764"/>
                    <w:jc w:val="right"/>
                    <w:rPr>
                      <w:rFonts w:hint="default" w:ascii="Times New Roman" w:eastAsia="宋体"/>
                      <w:b/>
                      <w:color w:val="auto"/>
                      <w:w w:val="130"/>
                      <w:kern w:val="0"/>
                    </w:rPr>
                  </w:pPr>
                  <w:r>
                    <w:rPr>
                      <w:rFonts w:hint="default" w:hAnsi="黑体" w:cs="楷体"/>
                      <w:b/>
                      <w:color w:val="auto"/>
                      <w:w w:val="130"/>
                      <w:kern w:val="0"/>
                      <w:sz w:val="96"/>
                    </w:rPr>
                    <w:t>T/CGFA</w:t>
                  </w:r>
                </w:p>
              </w:tc>
            </w:tr>
          </w:tbl>
          <w:p w14:paraId="6F36ED62">
            <w:pPr>
              <w:pStyle w:val="21"/>
              <w:framePr w:wrap="around"/>
              <w:rPr>
                <w:rFonts w:hint="default"/>
                <w:color w:val="auto"/>
              </w:rPr>
            </w:pPr>
          </w:p>
        </w:tc>
      </w:tr>
      <w:tr w14:paraId="4EC4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Pr>
        <w:tc>
          <w:tcPr>
            <w:tcW w:w="9563" w:type="dxa"/>
            <w:gridSpan w:val="2"/>
          </w:tcPr>
          <w:p w14:paraId="7155CE73">
            <w:pPr>
              <w:pStyle w:val="25"/>
              <w:framePr w:wrap="around"/>
              <w:rPr>
                <w:color w:val="auto"/>
                <w:szCs w:val="21"/>
              </w:rPr>
            </w:pPr>
            <w:r>
              <w:rPr>
                <w:rFonts w:hint="eastAsia"/>
                <w:color w:val="auto"/>
              </w:rPr>
              <w:t>中国绿色食品协会团体标准</w:t>
            </w:r>
          </w:p>
        </w:tc>
      </w:tr>
    </w:tbl>
    <w:p w14:paraId="0C90C9F6">
      <w:pPr>
        <w:rPr>
          <w:color w:val="auto"/>
        </w:rPr>
      </w:pPr>
    </w:p>
    <w:p w14:paraId="4EDF2024">
      <w:pPr>
        <w:widowControl/>
        <w:jc w:val="left"/>
        <w:rPr>
          <w:color w:val="auto"/>
        </w:rPr>
      </w:pPr>
      <w:r>
        <w:rPr>
          <w:color w:val="auto"/>
        </w:rPr>
        <w:br w:type="page"/>
      </w:r>
    </w:p>
    <w:p w14:paraId="58AE95B8">
      <w:pPr>
        <w:rPr>
          <w:color w:val="auto"/>
        </w:rPr>
        <w:sectPr>
          <w:pgSz w:w="11906" w:h="16838"/>
          <w:pgMar w:top="1440" w:right="1800" w:bottom="1440" w:left="1800" w:header="851" w:footer="992" w:gutter="0"/>
          <w:cols w:space="425" w:num="1"/>
          <w:docGrid w:type="lines" w:linePitch="312" w:charSpace="0"/>
        </w:sectPr>
      </w:pPr>
    </w:p>
    <w:p w14:paraId="06925EAF">
      <w:pPr>
        <w:jc w:val="center"/>
        <w:rPr>
          <w:rFonts w:ascii="黑体" w:hAnsi="黑体" w:eastAsia="黑体"/>
          <w:bCs/>
          <w:color w:val="auto"/>
          <w:sz w:val="32"/>
          <w:szCs w:val="32"/>
        </w:rPr>
      </w:pPr>
      <w:r>
        <w:rPr>
          <w:rFonts w:hint="eastAsia" w:ascii="黑体" w:hAnsi="黑体" w:eastAsia="黑体"/>
          <w:bCs/>
          <w:color w:val="auto"/>
          <w:sz w:val="32"/>
          <w:szCs w:val="32"/>
        </w:rPr>
        <w:t>前   言</w:t>
      </w:r>
    </w:p>
    <w:p w14:paraId="4F299F8D">
      <w:pPr>
        <w:ind w:firstLine="420" w:firstLineChars="200"/>
        <w:rPr>
          <w:rFonts w:ascii="宋体" w:hAnsi="宋体" w:eastAsia="宋体"/>
          <w:color w:val="auto"/>
        </w:rPr>
      </w:pPr>
      <w:r>
        <w:rPr>
          <w:rFonts w:hint="eastAsia" w:ascii="宋体" w:hAnsi="宋体" w:eastAsia="宋体"/>
          <w:color w:val="auto"/>
        </w:rPr>
        <w:t>本文件按照 GB/T 1.1-2020《标准化工作导则  第1部分：标准化文件的结构和起草规则》的规则起草。</w:t>
      </w:r>
    </w:p>
    <w:p w14:paraId="684B8B5B">
      <w:pPr>
        <w:ind w:firstLine="420" w:firstLineChars="200"/>
        <w:rPr>
          <w:rFonts w:ascii="宋体" w:hAnsi="宋体" w:eastAsia="宋体"/>
          <w:color w:val="auto"/>
        </w:rPr>
      </w:pPr>
      <w:r>
        <w:rPr>
          <w:rFonts w:hint="eastAsia" w:ascii="宋体" w:hAnsi="宋体" w:eastAsia="宋体"/>
          <w:color w:val="auto"/>
        </w:rPr>
        <w:t>请注意本文件的某些内容可能涉及专利，本文件的发布机构不承担识别专利的责任。</w:t>
      </w:r>
    </w:p>
    <w:p w14:paraId="786949D7">
      <w:pPr>
        <w:ind w:firstLine="420" w:firstLineChars="200"/>
        <w:rPr>
          <w:rFonts w:ascii="宋体" w:hAnsi="宋体" w:eastAsia="宋体"/>
          <w:color w:val="auto"/>
        </w:rPr>
      </w:pPr>
      <w:r>
        <w:rPr>
          <w:rFonts w:hint="eastAsia" w:ascii="宋体" w:hAnsi="宋体" w:eastAsia="宋体"/>
          <w:color w:val="auto"/>
        </w:rPr>
        <w:t>本文件由</w:t>
      </w:r>
      <w:r>
        <w:rPr>
          <w:rFonts w:hint="eastAsia" w:ascii="宋体" w:hAnsi="宋体" w:eastAsia="宋体"/>
          <w:color w:val="auto"/>
          <w:lang w:eastAsia="zh-CN"/>
        </w:rPr>
        <w:t>中国绿色食品发展中心</w:t>
      </w:r>
      <w:r>
        <w:rPr>
          <w:rFonts w:hint="eastAsia" w:ascii="宋体" w:hAnsi="宋体" w:eastAsia="宋体"/>
          <w:color w:val="auto"/>
        </w:rPr>
        <w:t>提出。</w:t>
      </w:r>
    </w:p>
    <w:p w14:paraId="000241BA">
      <w:pPr>
        <w:ind w:firstLine="420" w:firstLineChars="200"/>
        <w:rPr>
          <w:rFonts w:ascii="宋体" w:hAnsi="宋体" w:eastAsia="宋体"/>
          <w:color w:val="auto"/>
        </w:rPr>
      </w:pPr>
      <w:r>
        <w:rPr>
          <w:rFonts w:hint="eastAsia" w:ascii="宋体" w:hAnsi="宋体" w:eastAsia="宋体"/>
          <w:color w:val="auto"/>
        </w:rPr>
        <w:t>本文件由中国绿色食品协会归口。</w:t>
      </w:r>
    </w:p>
    <w:p w14:paraId="00954CD2">
      <w:pPr>
        <w:ind w:firstLine="420" w:firstLineChars="200"/>
        <w:rPr>
          <w:rFonts w:hint="eastAsia" w:ascii="宋体" w:hAnsi="宋体" w:eastAsia="宋体"/>
          <w:color w:val="auto"/>
          <w:lang w:eastAsia="zh-CN"/>
        </w:rPr>
      </w:pPr>
      <w:r>
        <w:rPr>
          <w:rFonts w:hint="eastAsia" w:ascii="宋体" w:hAnsi="宋体" w:eastAsia="宋体"/>
          <w:color w:val="auto"/>
        </w:rPr>
        <w:t>本标准起草单位：</w:t>
      </w:r>
      <w:r>
        <w:rPr>
          <w:rFonts w:hint="eastAsia" w:ascii="宋体" w:hAnsi="宋体" w:eastAsia="宋体"/>
          <w:color w:val="auto"/>
          <w:lang w:val="en-US" w:eastAsia="zh-CN"/>
        </w:rPr>
        <w:t>*</w:t>
      </w:r>
      <w:bookmarkStart w:id="9" w:name="_GoBack"/>
      <w:bookmarkEnd w:id="9"/>
    </w:p>
    <w:p w14:paraId="719511D5">
      <w:pPr>
        <w:ind w:firstLine="420" w:firstLineChars="200"/>
        <w:rPr>
          <w:rFonts w:ascii="宋体" w:hAnsi="宋体" w:eastAsia="宋体"/>
          <w:color w:val="auto"/>
        </w:rPr>
      </w:pPr>
      <w:r>
        <w:rPr>
          <w:rFonts w:hint="eastAsia" w:ascii="宋体" w:hAnsi="宋体" w:eastAsia="宋体"/>
          <w:color w:val="auto"/>
        </w:rPr>
        <w:t>本标准主要起草人：</w:t>
      </w:r>
      <w:r>
        <w:rPr>
          <w:rFonts w:hint="eastAsia" w:ascii="宋体" w:hAnsi="宋体" w:eastAsia="宋体"/>
          <w:color w:val="auto"/>
          <w:lang w:val="en-US" w:eastAsia="zh-CN"/>
        </w:rPr>
        <w:t>*</w:t>
      </w:r>
    </w:p>
    <w:p w14:paraId="7090347B">
      <w:pPr>
        <w:ind w:firstLine="420" w:firstLineChars="200"/>
        <w:rPr>
          <w:rFonts w:ascii="宋体" w:hAnsi="宋体" w:eastAsia="宋体"/>
          <w:color w:val="auto"/>
        </w:rPr>
      </w:pPr>
      <w:r>
        <w:rPr>
          <w:rFonts w:hint="eastAsia" w:ascii="宋体" w:hAnsi="宋体" w:eastAsia="宋体" w:cs="宋体"/>
          <w:color w:val="auto"/>
          <w:kern w:val="0"/>
          <w:szCs w:val="21"/>
        </w:rPr>
        <w:t>本文件批准发布后，因个别内容需要进行修改，或者对原文件内容进行增减时，可采用修改单方式修改本文件。</w:t>
      </w:r>
    </w:p>
    <w:p w14:paraId="46BF0B7D">
      <w:pPr>
        <w:ind w:firstLine="420" w:firstLineChars="200"/>
        <w:rPr>
          <w:rFonts w:ascii="宋体" w:hAnsi="宋体" w:eastAsia="宋体"/>
          <w:color w:val="auto"/>
        </w:rPr>
      </w:pPr>
      <w:r>
        <w:rPr>
          <w:rFonts w:hint="eastAsia" w:ascii="宋体" w:hAnsi="宋体" w:eastAsia="宋体"/>
          <w:color w:val="auto"/>
        </w:rPr>
        <w:t>本文件为首次发布。</w:t>
      </w:r>
    </w:p>
    <w:p w14:paraId="39213E94">
      <w:pPr>
        <w:rPr>
          <w:color w:val="auto"/>
        </w:rPr>
      </w:pPr>
    </w:p>
    <w:p w14:paraId="6F4A79C3">
      <w:pPr>
        <w:rPr>
          <w:color w:val="auto"/>
        </w:rPr>
        <w:sectPr>
          <w:pgSz w:w="11906" w:h="16838"/>
          <w:pgMar w:top="1440" w:right="1800" w:bottom="1440" w:left="1800" w:header="851" w:footer="992" w:gutter="0"/>
          <w:cols w:space="425" w:num="1"/>
          <w:docGrid w:type="lines" w:linePitch="312" w:charSpace="0"/>
        </w:sectPr>
      </w:pPr>
    </w:p>
    <w:p w14:paraId="4280631A">
      <w:pPr>
        <w:widowControl/>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绿色食品</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lang w:eastAsia="zh-CN"/>
        </w:rPr>
        <w:t>东北地区大豆生产操作</w:t>
      </w:r>
      <w:r>
        <w:rPr>
          <w:rFonts w:hint="eastAsia" w:ascii="黑体" w:hAnsi="黑体" w:eastAsia="黑体" w:cs="黑体"/>
          <w:color w:val="auto"/>
          <w:kern w:val="0"/>
          <w:sz w:val="32"/>
          <w:szCs w:val="32"/>
        </w:rPr>
        <w:t>规程</w:t>
      </w:r>
    </w:p>
    <w:p w14:paraId="2389C5E9">
      <w:pPr>
        <w:pStyle w:val="22"/>
        <w:spacing w:before="312" w:after="312"/>
        <w:rPr>
          <w:color w:val="auto"/>
        </w:rPr>
      </w:pPr>
      <w:r>
        <w:rPr>
          <w:rFonts w:hint="eastAsia"/>
          <w:color w:val="auto"/>
        </w:rPr>
        <w:t>范围</w:t>
      </w:r>
    </w:p>
    <w:p w14:paraId="7C6D8A47">
      <w:pPr>
        <w:pStyle w:val="29"/>
        <w:spacing w:line="360" w:lineRule="auto"/>
        <w:contextualSpacing/>
        <w:rPr>
          <w:rFonts w:hint="eastAsia" w:ascii="宋体" w:hAnsi="宋体" w:eastAsia="宋体" w:cstheme="minorBidi"/>
          <w:color w:val="auto"/>
          <w:kern w:val="2"/>
          <w:sz w:val="21"/>
          <w:szCs w:val="22"/>
          <w:lang w:val="en-US" w:eastAsia="zh-CN" w:bidi="ar-SA"/>
        </w:rPr>
      </w:pPr>
      <w:r>
        <w:rPr>
          <w:rFonts w:hint="eastAsia" w:ascii="宋体" w:hAnsi="宋体" w:eastAsia="宋体" w:cstheme="minorBidi"/>
          <w:color w:val="auto"/>
          <w:kern w:val="2"/>
          <w:sz w:val="21"/>
          <w:szCs w:val="22"/>
          <w:lang w:val="en-US" w:eastAsia="zh-CN" w:bidi="ar-SA"/>
        </w:rPr>
        <w:t>本文件规定了东北地区绿色食品大豆的产地环境、品种选择、整地、播种、田间管理、采收、生产废弃物处理、储藏及生产记录档案。</w:t>
      </w:r>
    </w:p>
    <w:p w14:paraId="0A209CA1">
      <w:pPr>
        <w:ind w:firstLine="420" w:firstLineChars="200"/>
        <w:rPr>
          <w:rFonts w:hint="eastAsia" w:ascii="宋体" w:hAnsi="宋体" w:eastAsia="宋体" w:cstheme="minorBidi"/>
          <w:color w:val="auto"/>
          <w:kern w:val="2"/>
          <w:sz w:val="21"/>
          <w:szCs w:val="22"/>
          <w:lang w:val="en-US" w:eastAsia="zh-CN" w:bidi="ar-SA"/>
        </w:rPr>
      </w:pPr>
      <w:r>
        <w:rPr>
          <w:rFonts w:hint="eastAsia" w:ascii="宋体" w:hAnsi="宋体" w:eastAsia="宋体" w:cstheme="minorBidi"/>
          <w:color w:val="auto"/>
          <w:kern w:val="2"/>
          <w:sz w:val="21"/>
          <w:szCs w:val="22"/>
          <w:lang w:val="en-US" w:eastAsia="zh-CN" w:bidi="ar-SA"/>
        </w:rPr>
        <w:t>本文件适用于内蒙古、辽宁、吉林和黑龙江的绿色食品大豆生产。</w:t>
      </w:r>
    </w:p>
    <w:p w14:paraId="4FCEED2D">
      <w:pPr>
        <w:pStyle w:val="22"/>
        <w:spacing w:before="312" w:after="312"/>
        <w:rPr>
          <w:color w:val="auto"/>
        </w:rPr>
      </w:pPr>
      <w:r>
        <w:rPr>
          <w:rFonts w:hint="eastAsia"/>
          <w:color w:val="auto"/>
        </w:rPr>
        <w:t>规范性引用文件</w:t>
      </w:r>
    </w:p>
    <w:p w14:paraId="67DD7DBF">
      <w:pPr>
        <w:tabs>
          <w:tab w:val="left" w:pos="2589"/>
        </w:tabs>
        <w:ind w:firstLine="408"/>
        <w:rPr>
          <w:rFonts w:ascii="宋体" w:hAnsi="宋体" w:eastAsia="宋体" w:cs="仿宋"/>
          <w:bCs/>
          <w:color w:val="auto"/>
          <w:szCs w:val="21"/>
        </w:rPr>
      </w:pPr>
      <w:sdt>
        <w:sdtPr>
          <w:rPr>
            <w:rFonts w:ascii="宋体" w:hAnsi="宋体" w:eastAsia="宋体"/>
            <w:color w:val="auto"/>
          </w:rPr>
          <w:tag w:val="StandNameFile"/>
          <w:id w:val="147452692"/>
          <w:placeholder>
            <w:docPart w:val="436CFE001B6B4908A49B97A3D0411F16"/>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ascii="宋体" w:hAnsi="宋体" w:eastAsia="宋体"/>
            <w:color w:val="auto"/>
          </w:rPr>
        </w:sdtEndPr>
        <w:sdtContent>
          <w:r>
            <w:rPr>
              <w:rFonts w:hint="eastAsia" w:ascii="宋体" w:hAnsi="宋体" w:eastAsia="宋体"/>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88A0A58">
      <w:pPr>
        <w:spacing w:line="360" w:lineRule="auto"/>
        <w:ind w:firstLine="420"/>
        <w:rPr>
          <w:rFonts w:hint="eastAsia" w:ascii="宋体" w:hAnsi="宋体" w:eastAsia="宋体" w:cs="Times New Roman"/>
          <w:color w:val="auto"/>
          <w:kern w:val="0"/>
          <w:sz w:val="21"/>
          <w:szCs w:val="20"/>
          <w:lang w:val="en-US" w:eastAsia="zh-CN" w:bidi="ar-SA"/>
        </w:rPr>
      </w:pPr>
      <w:r>
        <w:rPr>
          <w:rFonts w:hint="eastAsia" w:ascii="宋体" w:hAnsi="宋体" w:eastAsia="宋体" w:cs="Times New Roman"/>
          <w:color w:val="auto"/>
          <w:kern w:val="0"/>
          <w:sz w:val="21"/>
          <w:szCs w:val="20"/>
          <w:lang w:val="en-US" w:eastAsia="zh-CN" w:bidi="ar-SA"/>
        </w:rPr>
        <w:t>GB 4404.2 粮食作物种子 第2部分：豆类</w:t>
      </w:r>
    </w:p>
    <w:p w14:paraId="398E0850">
      <w:pPr>
        <w:spacing w:line="360" w:lineRule="auto"/>
        <w:ind w:firstLine="420" w:firstLineChars="200"/>
        <w:rPr>
          <w:rFonts w:hint="eastAsia" w:ascii="宋体" w:hAnsi="宋体" w:eastAsia="宋体" w:cs="Times New Roman"/>
          <w:color w:val="auto"/>
          <w:kern w:val="0"/>
          <w:sz w:val="21"/>
          <w:szCs w:val="20"/>
          <w:lang w:val="en-US" w:eastAsia="zh-CN" w:bidi="ar-SA"/>
        </w:rPr>
      </w:pPr>
      <w:r>
        <w:rPr>
          <w:rFonts w:hint="eastAsia" w:ascii="宋体" w:hAnsi="宋体" w:eastAsia="宋体" w:cs="Times New Roman"/>
          <w:color w:val="auto"/>
          <w:kern w:val="0"/>
          <w:sz w:val="21"/>
          <w:szCs w:val="20"/>
          <w:lang w:val="en-US" w:eastAsia="zh-CN" w:bidi="ar-SA"/>
        </w:rPr>
        <w:t>NY/T 391  绿色食品 产地环境质量</w:t>
      </w:r>
    </w:p>
    <w:p w14:paraId="401D9B48">
      <w:pPr>
        <w:spacing w:line="360" w:lineRule="auto"/>
        <w:ind w:firstLine="420" w:firstLineChars="200"/>
        <w:rPr>
          <w:rFonts w:hint="eastAsia" w:ascii="宋体" w:hAnsi="宋体" w:eastAsia="宋体" w:cs="Times New Roman"/>
          <w:color w:val="auto"/>
          <w:kern w:val="0"/>
          <w:sz w:val="21"/>
          <w:szCs w:val="20"/>
          <w:lang w:val="en-US" w:eastAsia="zh-CN" w:bidi="ar-SA"/>
        </w:rPr>
      </w:pPr>
      <w:r>
        <w:rPr>
          <w:rFonts w:hint="eastAsia" w:ascii="宋体" w:hAnsi="宋体" w:eastAsia="宋体" w:cs="Times New Roman"/>
          <w:color w:val="auto"/>
          <w:kern w:val="0"/>
          <w:sz w:val="21"/>
          <w:szCs w:val="20"/>
          <w:lang w:val="en-US" w:eastAsia="zh-CN" w:bidi="ar-SA"/>
        </w:rPr>
        <w:t>NY/T 393  绿色食品 农药使用准则</w:t>
      </w:r>
    </w:p>
    <w:p w14:paraId="5EC128AC">
      <w:pPr>
        <w:pStyle w:val="23"/>
        <w:spacing w:line="360" w:lineRule="auto"/>
        <w:ind w:firstLine="420"/>
        <w:rPr>
          <w:rFonts w:hint="eastAsia" w:hAnsi="宋体"/>
          <w:color w:val="auto"/>
        </w:rPr>
      </w:pPr>
      <w:r>
        <w:rPr>
          <w:rFonts w:hint="eastAsia" w:hAnsi="宋体"/>
          <w:color w:val="auto"/>
        </w:rPr>
        <w:t>NY/T</w:t>
      </w:r>
      <w:r>
        <w:rPr>
          <w:rFonts w:hAnsi="宋体"/>
          <w:color w:val="auto"/>
        </w:rPr>
        <w:t xml:space="preserve"> </w:t>
      </w:r>
      <w:r>
        <w:rPr>
          <w:rFonts w:hint="eastAsia" w:hAnsi="宋体"/>
          <w:color w:val="auto"/>
        </w:rPr>
        <w:t>39</w:t>
      </w:r>
      <w:r>
        <w:rPr>
          <w:rFonts w:hAnsi="宋体"/>
          <w:color w:val="auto"/>
        </w:rPr>
        <w:t xml:space="preserve">4  </w:t>
      </w:r>
      <w:r>
        <w:rPr>
          <w:rFonts w:hint="eastAsia" w:hAnsi="宋体"/>
          <w:color w:val="auto"/>
        </w:rPr>
        <w:t>绿色食品 肥料使用准则</w:t>
      </w:r>
    </w:p>
    <w:p w14:paraId="0DBF9142">
      <w:pPr>
        <w:pStyle w:val="23"/>
        <w:spacing w:line="360" w:lineRule="auto"/>
        <w:ind w:firstLine="420"/>
        <w:rPr>
          <w:rFonts w:hint="eastAsia" w:hAnsi="宋体"/>
          <w:color w:val="auto"/>
        </w:rPr>
      </w:pPr>
      <w:r>
        <w:rPr>
          <w:rFonts w:hint="eastAsia" w:hAnsi="宋体"/>
          <w:color w:val="auto"/>
        </w:rPr>
        <w:t xml:space="preserve">NY/T 1056 绿色食品 </w:t>
      </w:r>
      <w:r>
        <w:rPr>
          <w:rFonts w:hint="eastAsia" w:hAnsi="宋体"/>
          <w:color w:val="auto"/>
          <w:lang w:eastAsia="zh-CN"/>
        </w:rPr>
        <w:t>储藏</w:t>
      </w:r>
      <w:r>
        <w:rPr>
          <w:rFonts w:hint="eastAsia" w:hAnsi="宋体"/>
          <w:color w:val="auto"/>
        </w:rPr>
        <w:t>运输准则</w:t>
      </w:r>
    </w:p>
    <w:p w14:paraId="2D929AB8">
      <w:pPr>
        <w:pStyle w:val="22"/>
        <w:spacing w:before="312" w:after="312"/>
        <w:rPr>
          <w:color w:val="auto"/>
        </w:rPr>
      </w:pPr>
      <w:r>
        <w:rPr>
          <w:rFonts w:hint="eastAsia"/>
          <w:color w:val="auto"/>
        </w:rPr>
        <w:t>术语和定义</w:t>
      </w:r>
    </w:p>
    <w:p w14:paraId="725FB201">
      <w:pPr>
        <w:spacing w:line="360" w:lineRule="auto"/>
        <w:rPr>
          <w:rFonts w:hint="eastAsia" w:ascii="宋体" w:hAnsi="宋体" w:eastAsia="宋体" w:cs="仿宋"/>
          <w:bCs/>
          <w:color w:val="auto"/>
          <w:szCs w:val="21"/>
          <w:lang w:eastAsia="zh-CN"/>
        </w:rPr>
      </w:pPr>
      <w:r>
        <w:rPr>
          <w:rFonts w:hint="eastAsia" w:ascii="宋体" w:hAnsi="宋体" w:eastAsia="宋体" w:cs="仿宋"/>
          <w:bCs/>
          <w:color w:val="auto"/>
          <w:szCs w:val="21"/>
        </w:rPr>
        <w:t xml:space="preserve">    </w:t>
      </w:r>
      <w:r>
        <w:rPr>
          <w:rFonts w:hint="eastAsia" w:ascii="宋体" w:hAnsi="宋体" w:eastAsia="宋体" w:cs="仿宋"/>
          <w:bCs/>
          <w:color w:val="auto"/>
          <w:szCs w:val="21"/>
          <w:lang w:eastAsia="zh-CN"/>
        </w:rPr>
        <w:t>本文件没有需要界定的术语和定义。</w:t>
      </w:r>
    </w:p>
    <w:p w14:paraId="4C502524">
      <w:pPr>
        <w:widowControl/>
        <w:spacing w:line="360" w:lineRule="auto"/>
        <w:rPr>
          <w:rFonts w:hint="eastAsia" w:ascii="黑体" w:hAnsi="黑体" w:eastAsia="黑体" w:cs="仿宋"/>
          <w:bCs/>
          <w:color w:val="auto"/>
          <w:szCs w:val="21"/>
          <w:lang w:val="en-US" w:eastAsia="zh-CN"/>
        </w:rPr>
      </w:pPr>
      <w:r>
        <w:rPr>
          <w:rFonts w:hint="eastAsia" w:ascii="黑体" w:hAnsi="黑体" w:eastAsia="黑体" w:cs="仿宋"/>
          <w:bCs/>
          <w:color w:val="auto"/>
          <w:szCs w:val="21"/>
          <w:lang w:val="en-US" w:eastAsia="zh-CN"/>
        </w:rPr>
        <w:t>4 产地环境</w:t>
      </w:r>
    </w:p>
    <w:p w14:paraId="0F6D2C47">
      <w:pPr>
        <w:widowControl/>
        <w:spacing w:line="360" w:lineRule="auto"/>
        <w:rPr>
          <w:rFonts w:hint="default" w:ascii="黑体" w:hAnsi="黑体" w:eastAsia="黑体" w:cs="仿宋"/>
          <w:bCs/>
          <w:color w:val="auto"/>
          <w:szCs w:val="21"/>
          <w:lang w:val="en-US" w:eastAsia="zh-CN"/>
        </w:rPr>
      </w:pPr>
      <w:r>
        <w:rPr>
          <w:rFonts w:hint="eastAsia" w:ascii="黑体" w:hAnsi="黑体" w:eastAsia="黑体" w:cs="仿宋"/>
          <w:bCs/>
          <w:color w:val="auto"/>
          <w:szCs w:val="21"/>
          <w:lang w:val="en-US" w:eastAsia="zh-CN"/>
        </w:rPr>
        <w:t>4.1 环境条件</w:t>
      </w:r>
    </w:p>
    <w:p w14:paraId="1062347A">
      <w:pPr>
        <w:spacing w:line="360" w:lineRule="auto"/>
        <w:ind w:firstLine="420" w:firstLineChars="200"/>
        <w:rPr>
          <w:rFonts w:hint="eastAsia" w:ascii="宋体" w:hAnsi="宋体"/>
          <w:color w:val="auto"/>
        </w:rPr>
      </w:pPr>
      <w:r>
        <w:rPr>
          <w:rFonts w:hint="eastAsia" w:ascii="宋体" w:hAnsi="宋体" w:eastAsia="宋体" w:cs="仿宋"/>
          <w:bCs/>
          <w:color w:val="auto"/>
          <w:szCs w:val="21"/>
          <w:lang w:eastAsia="zh-CN"/>
        </w:rPr>
        <w:t>应符合NY/T391的要求。种植应选择生态环境良好、无污染的地区，远离工矿区和公路、铁路干线，避开污染源。应在绿色食品大豆和常规生产区域之间设置有效的缓冲带或物理屏障。</w:t>
      </w:r>
    </w:p>
    <w:p w14:paraId="7F2B7D43">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4</w:t>
      </w:r>
      <w:r>
        <w:rPr>
          <w:rFonts w:ascii="黑体" w:hAnsi="宋体" w:eastAsia="黑体" w:cs="Times New Roman"/>
          <w:color w:val="auto"/>
          <w:szCs w:val="24"/>
        </w:rPr>
        <w:t>.</w:t>
      </w:r>
      <w:r>
        <w:rPr>
          <w:rFonts w:hint="eastAsia" w:ascii="黑体" w:hAnsi="宋体" w:eastAsia="黑体" w:cs="Times New Roman"/>
          <w:color w:val="auto"/>
          <w:szCs w:val="24"/>
        </w:rPr>
        <w:t xml:space="preserve">2  气候条件  </w:t>
      </w:r>
    </w:p>
    <w:p w14:paraId="4A1614A7">
      <w:pPr>
        <w:spacing w:line="360" w:lineRule="auto"/>
        <w:ind w:firstLine="420" w:firstLineChars="200"/>
        <w:rPr>
          <w:rFonts w:hint="eastAsia" w:ascii="宋体" w:hAnsi="宋体" w:eastAsia="宋体" w:cs="Times New Roman"/>
          <w:color w:val="auto"/>
          <w:szCs w:val="24"/>
        </w:rPr>
      </w:pPr>
      <w:r>
        <w:rPr>
          <w:rFonts w:hint="eastAsia" w:ascii="宋体" w:hAnsi="宋体" w:eastAsia="宋体" w:cs="Times New Roman"/>
          <w:color w:val="auto"/>
          <w:szCs w:val="24"/>
        </w:rPr>
        <w:t>年≥10℃的活动积温宜在1750℃以上，年降雨量在350mm以上。</w:t>
      </w:r>
    </w:p>
    <w:p w14:paraId="36F565BD">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4</w:t>
      </w:r>
      <w:r>
        <w:rPr>
          <w:rFonts w:ascii="黑体" w:hAnsi="宋体" w:eastAsia="黑体" w:cs="Times New Roman"/>
          <w:color w:val="auto"/>
          <w:szCs w:val="24"/>
        </w:rPr>
        <w:t>.</w:t>
      </w:r>
      <w:r>
        <w:rPr>
          <w:rFonts w:hint="eastAsia" w:ascii="黑体" w:hAnsi="宋体" w:eastAsia="黑体" w:cs="Times New Roman"/>
          <w:color w:val="auto"/>
          <w:szCs w:val="24"/>
        </w:rPr>
        <w:t xml:space="preserve">3  土壤条件  </w:t>
      </w:r>
    </w:p>
    <w:p w14:paraId="3599D258">
      <w:pPr>
        <w:spacing w:line="360" w:lineRule="auto"/>
        <w:ind w:firstLine="420" w:firstLineChars="200"/>
        <w:rPr>
          <w:rFonts w:hint="eastAsia" w:ascii="宋体" w:hAnsi="宋体" w:eastAsia="宋体" w:cs="Times New Roman"/>
          <w:color w:val="auto"/>
          <w:szCs w:val="24"/>
        </w:rPr>
      </w:pPr>
      <w:r>
        <w:rPr>
          <w:rFonts w:hint="eastAsia" w:ascii="宋体" w:hAnsi="宋体" w:eastAsia="宋体" w:cs="Times New Roman"/>
          <w:color w:val="auto"/>
          <w:szCs w:val="24"/>
        </w:rPr>
        <w:t>宜选用集中连片、地势平坦、排灌方便、耕层深厚肥沃、理化性状和耕性良好的土壤，</w:t>
      </w:r>
      <w:r>
        <w:rPr>
          <w:rFonts w:ascii="Times New Roman" w:hAnsi="Times New Roman" w:eastAsia="宋体" w:cs="Times New Roman"/>
          <w:color w:val="auto"/>
          <w:szCs w:val="21"/>
        </w:rPr>
        <w:t>以壤土最为适宜</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要求中性土壤，</w:t>
      </w:r>
      <w:r>
        <w:rPr>
          <w:rFonts w:ascii="Times New Roman" w:hAnsi="Times New Roman" w:eastAsia="宋体" w:cs="Times New Roman"/>
          <w:color w:val="auto"/>
          <w:szCs w:val="21"/>
        </w:rPr>
        <w:t>pH宜在6.5</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7.5之间。</w:t>
      </w:r>
    </w:p>
    <w:p w14:paraId="6C2EFDAB">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5</w:t>
      </w:r>
      <w:r>
        <w:rPr>
          <w:rFonts w:hint="eastAsia" w:ascii="黑体" w:hAnsi="宋体" w:eastAsia="黑体" w:cs="Times New Roman"/>
          <w:color w:val="auto"/>
          <w:szCs w:val="24"/>
        </w:rPr>
        <w:t xml:space="preserve">  品种选择      </w:t>
      </w:r>
    </w:p>
    <w:p w14:paraId="018137E6">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5</w:t>
      </w:r>
      <w:r>
        <w:rPr>
          <w:rFonts w:ascii="黑体" w:hAnsi="宋体" w:eastAsia="黑体" w:cs="Times New Roman"/>
          <w:color w:val="auto"/>
          <w:szCs w:val="24"/>
        </w:rPr>
        <w:t>.</w:t>
      </w:r>
      <w:r>
        <w:rPr>
          <w:rFonts w:hint="eastAsia" w:ascii="黑体" w:hAnsi="宋体" w:eastAsia="黑体" w:cs="Times New Roman"/>
          <w:color w:val="auto"/>
          <w:szCs w:val="24"/>
        </w:rPr>
        <w:t>1  选择原则</w:t>
      </w:r>
    </w:p>
    <w:p w14:paraId="08DF885A">
      <w:pPr>
        <w:widowControl w:val="0"/>
        <w:tabs>
          <w:tab w:val="left" w:pos="142"/>
        </w:tabs>
        <w:spacing w:line="360" w:lineRule="auto"/>
        <w:ind w:firstLine="420" w:firstLineChars="200"/>
        <w:contextualSpacing/>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选用高产、优质、抗逆性强的品种，应根据当地主要病虫害发生情况、气候条件和耕作制度，选择经过国家或省级审定（认定）的优良品种。</w:t>
      </w:r>
    </w:p>
    <w:p w14:paraId="7F00613F">
      <w:pPr>
        <w:spacing w:line="360" w:lineRule="auto"/>
        <w:rPr>
          <w:rFonts w:hint="eastAsia" w:ascii="宋体" w:hAnsi="宋体" w:eastAsia="黑体" w:cs="Times New Roman"/>
          <w:color w:val="auto"/>
          <w:szCs w:val="21"/>
          <w:lang w:eastAsia="zh-CN"/>
        </w:rPr>
      </w:pPr>
      <w:r>
        <w:rPr>
          <w:rFonts w:hint="eastAsia" w:ascii="黑体" w:hAnsi="宋体" w:eastAsia="黑体" w:cs="Times New Roman"/>
          <w:color w:val="auto"/>
          <w:szCs w:val="24"/>
          <w:lang w:val="en-US" w:eastAsia="zh-CN"/>
        </w:rPr>
        <w:t>5</w:t>
      </w:r>
      <w:r>
        <w:rPr>
          <w:rFonts w:ascii="黑体" w:hAnsi="宋体" w:eastAsia="黑体" w:cs="Times New Roman"/>
          <w:color w:val="auto"/>
          <w:szCs w:val="24"/>
        </w:rPr>
        <w:t>.</w:t>
      </w:r>
      <w:r>
        <w:rPr>
          <w:rFonts w:hint="eastAsia" w:ascii="黑体" w:hAnsi="宋体" w:eastAsia="黑体" w:cs="Times New Roman"/>
          <w:color w:val="auto"/>
          <w:szCs w:val="24"/>
        </w:rPr>
        <w:t>2  品种选用</w:t>
      </w:r>
    </w:p>
    <w:p w14:paraId="45197F61">
      <w:pPr>
        <w:widowControl w:val="0"/>
        <w:tabs>
          <w:tab w:val="left" w:pos="142"/>
        </w:tabs>
        <w:spacing w:line="360" w:lineRule="auto"/>
        <w:ind w:firstLine="420" w:firstLineChars="200"/>
        <w:contextualSpacing/>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东北地区大豆品种需重点抗胞囊线虫病、根腐病、灰斑病及大豆花叶病毒病。如抗胞囊线虫病的品种辽豆15、黑河43、中黄309等，抗灰斑病的品种合丰55、绥农52、黑农84、东生7号等，综合抗性较好的品种绥农35、黑河52、东生1号、吉育86等。</w:t>
      </w:r>
    </w:p>
    <w:p w14:paraId="6519CA3C">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6</w:t>
      </w:r>
      <w:r>
        <w:rPr>
          <w:rFonts w:hint="eastAsia" w:ascii="黑体" w:hAnsi="宋体" w:eastAsia="黑体" w:cs="Times New Roman"/>
          <w:color w:val="auto"/>
          <w:szCs w:val="24"/>
        </w:rPr>
        <w:t xml:space="preserve">  整地</w:t>
      </w:r>
    </w:p>
    <w:p w14:paraId="1648BA41">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6</w:t>
      </w:r>
      <w:r>
        <w:rPr>
          <w:rFonts w:ascii="黑体" w:hAnsi="宋体" w:eastAsia="黑体" w:cs="Times New Roman"/>
          <w:color w:val="auto"/>
          <w:szCs w:val="24"/>
        </w:rPr>
        <w:t>.</w:t>
      </w:r>
      <w:r>
        <w:rPr>
          <w:rFonts w:hint="eastAsia" w:ascii="黑体" w:hAnsi="宋体" w:eastAsia="黑体" w:cs="Times New Roman"/>
          <w:color w:val="auto"/>
          <w:szCs w:val="24"/>
        </w:rPr>
        <w:t>1  选茬</w:t>
      </w:r>
    </w:p>
    <w:p w14:paraId="23AFD974">
      <w:pPr>
        <w:adjustRightInd w:val="0"/>
        <w:spacing w:line="360" w:lineRule="auto"/>
        <w:ind w:firstLine="352" w:firstLineChars="168"/>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实行科学轮作</w:t>
      </w:r>
      <w:r>
        <w:rPr>
          <w:rFonts w:hint="eastAsia" w:ascii="宋体" w:hAnsi="宋体" w:eastAsia="宋体" w:cs="Times New Roman"/>
          <w:color w:val="auto"/>
          <w:szCs w:val="24"/>
        </w:rPr>
        <w:t>，</w:t>
      </w:r>
      <w:r>
        <w:rPr>
          <w:rFonts w:hint="eastAsia" w:ascii="Times New Roman" w:hAnsi="Times New Roman" w:eastAsia="宋体" w:cs="Times New Roman"/>
          <w:color w:val="auto"/>
          <w:szCs w:val="24"/>
        </w:rPr>
        <w:t>不重茬，不迎茬，宜选用玉米、小麦、</w:t>
      </w:r>
      <w:r>
        <w:rPr>
          <w:rFonts w:hint="eastAsia" w:ascii="Times New Roman" w:hAnsi="Times New Roman" w:eastAsia="宋体" w:cs="Times New Roman"/>
          <w:color w:val="auto"/>
          <w:szCs w:val="24"/>
          <w:lang w:eastAsia="zh-CN"/>
        </w:rPr>
        <w:t>水稻</w:t>
      </w:r>
      <w:r>
        <w:rPr>
          <w:rFonts w:hint="eastAsia" w:ascii="Times New Roman" w:hAnsi="Times New Roman" w:eastAsia="宋体" w:cs="Times New Roman"/>
          <w:color w:val="auto"/>
          <w:szCs w:val="24"/>
        </w:rPr>
        <w:t>等茬口，</w:t>
      </w:r>
      <w:r>
        <w:rPr>
          <w:rFonts w:hint="eastAsia" w:ascii="宋体" w:hAnsi="宋体" w:eastAsia="宋体" w:cs="Times New Roman"/>
          <w:color w:val="auto"/>
          <w:szCs w:val="24"/>
        </w:rPr>
        <w:t>实行三年以上轮作</w:t>
      </w:r>
      <w:r>
        <w:rPr>
          <w:rFonts w:hint="eastAsia" w:ascii="Times New Roman" w:hAnsi="Times New Roman" w:eastAsia="宋体" w:cs="Times New Roman"/>
          <w:color w:val="auto"/>
          <w:szCs w:val="24"/>
        </w:rPr>
        <w:t>。</w:t>
      </w:r>
    </w:p>
    <w:p w14:paraId="06FC81FE">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6</w:t>
      </w:r>
      <w:r>
        <w:rPr>
          <w:rFonts w:ascii="黑体" w:hAnsi="宋体" w:eastAsia="黑体" w:cs="Times New Roman"/>
          <w:color w:val="auto"/>
          <w:szCs w:val="24"/>
        </w:rPr>
        <w:t>.</w:t>
      </w:r>
      <w:r>
        <w:rPr>
          <w:rFonts w:hint="eastAsia" w:ascii="黑体" w:hAnsi="宋体" w:eastAsia="黑体" w:cs="Times New Roman"/>
          <w:color w:val="auto"/>
          <w:szCs w:val="24"/>
        </w:rPr>
        <w:t>2  整地</w:t>
      </w:r>
    </w:p>
    <w:p w14:paraId="268D28A0">
      <w:pPr>
        <w:spacing w:line="360" w:lineRule="auto"/>
        <w:ind w:firstLine="420" w:firstLineChars="200"/>
        <w:rPr>
          <w:rFonts w:hint="eastAsia" w:ascii="宋体" w:hAnsi="宋体" w:eastAsia="宋体" w:cs="Times New Roman"/>
          <w:color w:val="auto"/>
          <w:szCs w:val="24"/>
        </w:rPr>
      </w:pPr>
      <w:r>
        <w:rPr>
          <w:rFonts w:hint="eastAsia" w:ascii="宋体" w:hAnsi="宋体" w:eastAsia="宋体" w:cs="Times New Roman"/>
          <w:bCs/>
          <w:color w:val="auto"/>
          <w:szCs w:val="24"/>
        </w:rPr>
        <w:t>采取机械联合整地，</w:t>
      </w:r>
      <w:r>
        <w:rPr>
          <w:rFonts w:hint="eastAsia" w:ascii="宋体" w:hAnsi="宋体" w:eastAsia="宋体" w:cs="Times New Roman"/>
          <w:color w:val="auto"/>
          <w:szCs w:val="24"/>
        </w:rPr>
        <w:t>实行秋翻起垄或秋深松起垄，</w:t>
      </w:r>
      <w:r>
        <w:rPr>
          <w:rFonts w:hint="eastAsia" w:ascii="宋体" w:hAnsi="宋体" w:eastAsia="宋体" w:cs="Times New Roman"/>
          <w:bCs/>
          <w:color w:val="auto"/>
          <w:szCs w:val="24"/>
        </w:rPr>
        <w:t>深松深度25cm以上，耙茬、深松、起垄连续作业</w:t>
      </w:r>
      <w:r>
        <w:rPr>
          <w:rFonts w:hint="eastAsia" w:ascii="宋体" w:hAnsi="宋体" w:eastAsia="宋体" w:cs="Times New Roman"/>
          <w:color w:val="auto"/>
          <w:szCs w:val="24"/>
        </w:rPr>
        <w:t>。耕层土壤细碎、疏松、地面平整，达到适宜播种状态。</w:t>
      </w:r>
    </w:p>
    <w:p w14:paraId="7326EA23">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7</w:t>
      </w:r>
      <w:r>
        <w:rPr>
          <w:rFonts w:ascii="黑体" w:hAnsi="宋体" w:eastAsia="黑体" w:cs="Times New Roman"/>
          <w:color w:val="auto"/>
          <w:szCs w:val="24"/>
        </w:rPr>
        <w:t xml:space="preserve">  </w:t>
      </w:r>
      <w:r>
        <w:rPr>
          <w:rFonts w:hint="eastAsia" w:ascii="黑体" w:hAnsi="宋体" w:eastAsia="黑体" w:cs="Times New Roman"/>
          <w:color w:val="auto"/>
          <w:szCs w:val="24"/>
        </w:rPr>
        <w:t>播种</w:t>
      </w:r>
    </w:p>
    <w:p w14:paraId="73B64802">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7</w:t>
      </w:r>
      <w:r>
        <w:rPr>
          <w:rFonts w:hint="eastAsia" w:ascii="黑体" w:hAnsi="宋体" w:eastAsia="黑体" w:cs="Times New Roman"/>
          <w:color w:val="auto"/>
          <w:szCs w:val="24"/>
        </w:rPr>
        <w:t>.1  种子处理</w:t>
      </w:r>
    </w:p>
    <w:p w14:paraId="79D0D34C">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rPr>
        <w:t>播种前对种子进行筛选或人工粒选，剔除病斑粒、虫食粒、破碎粒及杂质，并晒种。精选后的种子质量，</w:t>
      </w:r>
      <w:r>
        <w:rPr>
          <w:rFonts w:hint="eastAsia" w:ascii="宋体" w:hAnsi="宋体" w:eastAsia="宋体" w:cs="Times New Roman"/>
          <w:color w:val="auto"/>
          <w:szCs w:val="24"/>
        </w:rPr>
        <w:t>净度不低于99%，纯度不低于98%，发芽率不低于85%，水</w:t>
      </w:r>
      <w:r>
        <w:rPr>
          <w:rFonts w:hint="eastAsia" w:ascii="宋体" w:hAnsi="宋体" w:eastAsia="宋体" w:cs="Times New Roman"/>
          <w:color w:val="auto"/>
          <w:szCs w:val="24"/>
        </w:rPr>
        <w:t>分含量不高于12%。宜对精选后的种子进行</w:t>
      </w:r>
      <w:r>
        <w:rPr>
          <w:rFonts w:hint="eastAsia" w:ascii="宋体" w:hAnsi="宋体" w:eastAsia="宋体" w:cs="Times New Roman"/>
          <w:color w:val="auto"/>
          <w:szCs w:val="24"/>
          <w:lang w:eastAsia="zh-CN"/>
        </w:rPr>
        <w:t>拌种</w:t>
      </w:r>
      <w:r>
        <w:rPr>
          <w:rFonts w:hint="eastAsia" w:ascii="宋体" w:hAnsi="宋体" w:eastAsia="宋体" w:cs="Times New Roman"/>
          <w:color w:val="auto"/>
          <w:szCs w:val="24"/>
        </w:rPr>
        <w:t>处理，</w:t>
      </w:r>
      <w:r>
        <w:rPr>
          <w:rFonts w:hint="eastAsia" w:ascii="宋体" w:hAnsi="宋体" w:eastAsia="宋体" w:cs="Times New Roman"/>
          <w:color w:val="auto"/>
          <w:szCs w:val="24"/>
          <w:lang w:eastAsia="zh-CN"/>
        </w:rPr>
        <w:t>拌种药物</w:t>
      </w:r>
      <w:r>
        <w:rPr>
          <w:rFonts w:hint="eastAsia" w:ascii="宋体" w:hAnsi="宋体" w:eastAsia="宋体" w:cs="Times New Roman"/>
          <w:color w:val="auto"/>
          <w:szCs w:val="24"/>
        </w:rPr>
        <w:t>应符合NY/T 393的要求</w:t>
      </w:r>
      <w:r>
        <w:rPr>
          <w:rFonts w:hint="eastAsia" w:ascii="宋体" w:hAnsi="宋体" w:eastAsia="宋体" w:cs="Times New Roman"/>
          <w:color w:val="auto"/>
          <w:szCs w:val="24"/>
          <w:lang w:eastAsia="zh-CN"/>
        </w:rPr>
        <w:t>，如</w:t>
      </w:r>
      <w:r>
        <w:rPr>
          <w:rFonts w:hint="eastAsia" w:ascii="宋体" w:hAnsi="宋体" w:eastAsia="宋体" w:cs="Times New Roman"/>
          <w:color w:val="auto"/>
          <w:szCs w:val="24"/>
        </w:rPr>
        <w:t>精甲•咯菌腈悬浮种衣剂</w:t>
      </w:r>
      <w:r>
        <w:rPr>
          <w:rFonts w:hint="eastAsia" w:ascii="宋体" w:hAnsi="宋体" w:eastAsia="宋体" w:cs="Times New Roman"/>
          <w:color w:val="auto"/>
          <w:szCs w:val="24"/>
          <w:lang w:val="en-US" w:eastAsia="zh-CN"/>
        </w:rPr>
        <w:t>、噻虫嗪悬浮剂等</w:t>
      </w:r>
      <w:r>
        <w:rPr>
          <w:rFonts w:hint="eastAsia" w:ascii="宋体" w:hAnsi="宋体" w:eastAsia="宋体" w:cs="Times New Roman"/>
          <w:color w:val="auto"/>
          <w:szCs w:val="24"/>
        </w:rPr>
        <w:t>。</w:t>
      </w:r>
    </w:p>
    <w:p w14:paraId="60578BB4">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7</w:t>
      </w:r>
      <w:r>
        <w:rPr>
          <w:rFonts w:hint="eastAsia" w:ascii="黑体" w:hAnsi="宋体" w:eastAsia="黑体" w:cs="Times New Roman"/>
          <w:color w:val="auto"/>
          <w:szCs w:val="24"/>
        </w:rPr>
        <w:t>.2</w:t>
      </w:r>
      <w:r>
        <w:rPr>
          <w:rFonts w:ascii="黑体" w:hAnsi="宋体" w:eastAsia="黑体" w:cs="Times New Roman"/>
          <w:color w:val="auto"/>
          <w:szCs w:val="24"/>
        </w:rPr>
        <w:t xml:space="preserve">  </w:t>
      </w:r>
      <w:r>
        <w:rPr>
          <w:rFonts w:hint="eastAsia" w:ascii="黑体" w:hAnsi="宋体" w:eastAsia="黑体" w:cs="Times New Roman"/>
          <w:color w:val="auto"/>
          <w:szCs w:val="24"/>
        </w:rPr>
        <w:t>播期</w:t>
      </w:r>
    </w:p>
    <w:p w14:paraId="64349DE2">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rPr>
        <w:t>当土壤10cm深处地温稳定通过</w:t>
      </w:r>
      <w:r>
        <w:rPr>
          <w:rFonts w:ascii="Times New Roman" w:hAnsi="Times New Roman" w:eastAsia="宋体" w:cs="Times New Roman"/>
          <w:color w:val="auto"/>
          <w:szCs w:val="24"/>
        </w:rPr>
        <w:t>7</w:t>
      </w:r>
      <w:r>
        <w:rPr>
          <w:rFonts w:hint="eastAsia" w:ascii="宋体" w:hAnsi="宋体" w:eastAsia="宋体" w:cs="宋体"/>
          <w:color w:val="auto"/>
          <w:szCs w:val="24"/>
        </w:rPr>
        <w:t>℃</w:t>
      </w:r>
      <w:r>
        <w:rPr>
          <w:rFonts w:hint="eastAsia" w:ascii="Times New Roman" w:hAnsi="Times New Roman" w:eastAsia="宋体" w:cs="Times New Roman"/>
          <w:color w:val="auto"/>
          <w:szCs w:val="24"/>
        </w:rPr>
        <w:t>～</w:t>
      </w:r>
      <w:r>
        <w:rPr>
          <w:rFonts w:ascii="Times New Roman" w:hAnsi="Times New Roman" w:eastAsia="宋体" w:cs="Times New Roman"/>
          <w:color w:val="auto"/>
          <w:szCs w:val="24"/>
        </w:rPr>
        <w:t>8</w:t>
      </w:r>
      <w:r>
        <w:rPr>
          <w:rFonts w:ascii="Times New Roman" w:hAnsi="宋体" w:eastAsia="宋体" w:cs="Times New Roman"/>
          <w:color w:val="auto"/>
          <w:szCs w:val="24"/>
        </w:rPr>
        <w:t>℃</w:t>
      </w:r>
      <w:r>
        <w:rPr>
          <w:rFonts w:hint="eastAsia" w:ascii="Times New Roman" w:hAnsi="宋体" w:eastAsia="宋体" w:cs="Times New Roman"/>
          <w:color w:val="auto"/>
          <w:szCs w:val="24"/>
        </w:rPr>
        <w:t>进行播种</w:t>
      </w:r>
      <w:r>
        <w:rPr>
          <w:rFonts w:hint="eastAsia" w:ascii="宋体" w:hAnsi="宋体" w:eastAsia="宋体" w:cs="Times New Roman"/>
          <w:color w:val="auto"/>
          <w:szCs w:val="24"/>
        </w:rPr>
        <w:t>。一般在4月下旬至5月中旬播种，因不同地点积温不同而异。</w:t>
      </w:r>
    </w:p>
    <w:p w14:paraId="4D3DC2EA">
      <w:pPr>
        <w:adjustRightInd w:val="0"/>
        <w:spacing w:line="360" w:lineRule="auto"/>
        <w:rPr>
          <w:rFonts w:hint="eastAsia" w:ascii="黑体" w:hAnsi="黑体" w:eastAsia="黑体" w:cs="Times New Roman"/>
          <w:color w:val="auto"/>
          <w:szCs w:val="21"/>
        </w:rPr>
      </w:pPr>
      <w:r>
        <w:rPr>
          <w:rFonts w:hint="eastAsia" w:ascii="黑体" w:hAnsi="黑体" w:eastAsia="黑体" w:cs="Times New Roman"/>
          <w:color w:val="auto"/>
          <w:szCs w:val="21"/>
          <w:lang w:val="en-US" w:eastAsia="zh-CN"/>
        </w:rPr>
        <w:t>7</w:t>
      </w:r>
      <w:r>
        <w:rPr>
          <w:rFonts w:hint="eastAsia" w:ascii="黑体" w:hAnsi="黑体" w:eastAsia="黑体" w:cs="Times New Roman"/>
          <w:color w:val="auto"/>
          <w:szCs w:val="21"/>
        </w:rPr>
        <w:t>.3  播法</w:t>
      </w:r>
    </w:p>
    <w:p w14:paraId="2CF0F158">
      <w:pPr>
        <w:adjustRightInd w:val="0"/>
        <w:spacing w:line="360" w:lineRule="auto"/>
        <w:ind w:firstLine="420"/>
        <w:rPr>
          <w:rFonts w:hint="eastAsia" w:ascii="宋体" w:hAnsi="宋体" w:eastAsia="宋体" w:cs="Times New Roman"/>
          <w:color w:val="auto"/>
          <w:szCs w:val="21"/>
        </w:rPr>
      </w:pPr>
      <w:r>
        <w:rPr>
          <w:rFonts w:hint="eastAsia" w:ascii="宋体" w:hAnsi="宋体" w:eastAsia="宋体" w:cs="Times New Roman"/>
          <w:color w:val="auto"/>
          <w:szCs w:val="21"/>
        </w:rPr>
        <w:t>黑龙江、吉林和内蒙古地区通常采用栽培模式如下：垄三栽培模式，垄距65～70cm，机械垄上双行精量点播。大垄窄行密植模式，110cm大垄3～4行种植；种植三行，平均行距22.5cm；种植四行，小行距12cm ，宽行距21cm。小垄窄行密植模式，垄距45cm～50cm，机械垄上双行精量点播。</w:t>
      </w:r>
    </w:p>
    <w:p w14:paraId="02D2B5BE">
      <w:pPr>
        <w:adjustRightInd w:val="0"/>
        <w:spacing w:line="360" w:lineRule="auto"/>
        <w:ind w:firstLine="420"/>
        <w:rPr>
          <w:rFonts w:hint="eastAsia" w:ascii="宋体" w:hAnsi="宋体" w:eastAsia="宋体" w:cs="Times New Roman"/>
          <w:color w:val="auto"/>
          <w:szCs w:val="21"/>
        </w:rPr>
      </w:pPr>
      <w:r>
        <w:rPr>
          <w:rFonts w:hint="eastAsia" w:ascii="宋体" w:hAnsi="宋体" w:eastAsia="宋体" w:cs="Times New Roman"/>
          <w:color w:val="auto"/>
          <w:szCs w:val="21"/>
        </w:rPr>
        <w:t>辽宁地区通常采用垄距55cm</w:t>
      </w:r>
      <w:r>
        <w:rPr>
          <w:rFonts w:hint="eastAsia" w:ascii="Times New Roman" w:hAnsi="Times New Roman" w:eastAsia="宋体" w:cs="Times New Roman"/>
          <w:color w:val="auto"/>
          <w:szCs w:val="21"/>
        </w:rPr>
        <w:t>～</w:t>
      </w:r>
      <w:r>
        <w:rPr>
          <w:rFonts w:hint="eastAsia" w:ascii="宋体" w:hAnsi="宋体" w:eastAsia="宋体" w:cs="Times New Roman"/>
          <w:color w:val="auto"/>
          <w:szCs w:val="21"/>
        </w:rPr>
        <w:t>60cm</w:t>
      </w:r>
      <w:r>
        <w:rPr>
          <w:rFonts w:hint="eastAsia" w:ascii="Times New Roman" w:hAnsi="Times New Roman" w:eastAsia="宋体" w:cs="Times New Roman"/>
          <w:color w:val="auto"/>
          <w:szCs w:val="21"/>
        </w:rPr>
        <w:t>，垄上单行精量点播或穴播。</w:t>
      </w:r>
    </w:p>
    <w:p w14:paraId="3A775738">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7</w:t>
      </w:r>
      <w:r>
        <w:rPr>
          <w:rFonts w:hint="eastAsia" w:ascii="黑体" w:hAnsi="宋体" w:eastAsia="黑体" w:cs="Times New Roman"/>
          <w:color w:val="auto"/>
          <w:szCs w:val="24"/>
        </w:rPr>
        <w:t>.4  播种量</w:t>
      </w:r>
    </w:p>
    <w:p w14:paraId="0531DC40">
      <w:pPr>
        <w:spacing w:line="360" w:lineRule="auto"/>
        <w:ind w:firstLine="405"/>
        <w:rPr>
          <w:rFonts w:hint="eastAsia" w:ascii="Times New Roman" w:hAnsi="Times New Roman" w:eastAsia="宋体" w:cs="Times New Roman"/>
          <w:color w:val="auto"/>
          <w:szCs w:val="21"/>
        </w:rPr>
      </w:pPr>
      <w:r>
        <w:rPr>
          <w:rFonts w:hint="eastAsia" w:ascii="宋体" w:hAnsi="宋体" w:eastAsia="宋体" w:cs="Times New Roman"/>
          <w:color w:val="auto"/>
          <w:szCs w:val="24"/>
        </w:rPr>
        <w:t>根据地势、土壤肥水条件、品种特性以及栽培模式确定密度，计算播种量。垄三栽培模式，通常每亩保苗1.3～2万株；大垄窄行密植模式，通常每亩保苗2.8～3万株；小垄窄行密植模式，通常每亩保苗2～2.7万株；垄上单行精量点播或穴播，在辽宁地区通常每亩保苗1～1.3万株。</w:t>
      </w:r>
    </w:p>
    <w:p w14:paraId="5CAA832E">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7</w:t>
      </w:r>
      <w:r>
        <w:rPr>
          <w:rFonts w:hint="eastAsia" w:ascii="黑体" w:hAnsi="宋体" w:eastAsia="黑体" w:cs="Times New Roman"/>
          <w:color w:val="auto"/>
          <w:szCs w:val="24"/>
        </w:rPr>
        <w:t>.5  播种质量</w:t>
      </w:r>
    </w:p>
    <w:p w14:paraId="72881B8F">
      <w:pPr>
        <w:spacing w:line="360" w:lineRule="auto"/>
        <w:rPr>
          <w:rFonts w:hint="eastAsia" w:ascii="宋体" w:hAnsi="宋体" w:eastAsia="宋体" w:cs="Times New Roman"/>
          <w:color w:val="auto"/>
          <w:szCs w:val="24"/>
        </w:rPr>
      </w:pPr>
      <w:r>
        <w:rPr>
          <w:rFonts w:hint="eastAsia" w:ascii="宋体" w:hAnsi="宋体" w:eastAsia="宋体" w:cs="Times New Roman"/>
          <w:color w:val="auto"/>
          <w:szCs w:val="24"/>
        </w:rPr>
        <w:t xml:space="preserve">    总播量误差不超过2%，单口排量误差不超过3%，播种均匀，无断条（30cm内无籽为断条）。行距开沟器间误差小于1cm，往复综合垄误差小于5</w:t>
      </w:r>
      <w:r>
        <w:rPr>
          <w:rFonts w:ascii="宋体" w:hAnsi="宋体" w:eastAsia="宋体" w:cs="Times New Roman"/>
          <w:color w:val="auto"/>
          <w:szCs w:val="24"/>
        </w:rPr>
        <w:t>c</w:t>
      </w:r>
      <w:r>
        <w:rPr>
          <w:rFonts w:hint="eastAsia" w:ascii="宋体" w:hAnsi="宋体" w:eastAsia="宋体" w:cs="Times New Roman"/>
          <w:color w:val="auto"/>
          <w:szCs w:val="24"/>
        </w:rPr>
        <w:t>m。播深3</w:t>
      </w:r>
      <w:r>
        <w:rPr>
          <w:rFonts w:ascii="宋体" w:hAnsi="宋体" w:eastAsia="宋体" w:cs="Times New Roman"/>
          <w:color w:val="auto"/>
          <w:szCs w:val="24"/>
        </w:rPr>
        <w:t>cm</w:t>
      </w:r>
      <w:r>
        <w:rPr>
          <w:rFonts w:hint="eastAsia" w:ascii="宋体" w:hAnsi="宋体" w:eastAsia="宋体" w:cs="Times New Roman"/>
          <w:color w:val="auto"/>
          <w:szCs w:val="24"/>
        </w:rPr>
        <w:t>～5</w:t>
      </w:r>
      <w:r>
        <w:rPr>
          <w:rFonts w:ascii="宋体" w:hAnsi="宋体" w:eastAsia="宋体" w:cs="Times New Roman"/>
          <w:color w:val="auto"/>
          <w:szCs w:val="24"/>
        </w:rPr>
        <w:t>c</w:t>
      </w:r>
      <w:r>
        <w:rPr>
          <w:rFonts w:hint="eastAsia" w:ascii="宋体" w:hAnsi="宋体" w:eastAsia="宋体" w:cs="Times New Roman"/>
          <w:color w:val="auto"/>
          <w:szCs w:val="24"/>
        </w:rPr>
        <w:t>m，覆土一致，播后及时镇压。</w:t>
      </w:r>
    </w:p>
    <w:p w14:paraId="16B28DDB">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 xml:space="preserve">  </w:t>
      </w:r>
      <w:r>
        <w:rPr>
          <w:rFonts w:hint="eastAsia" w:ascii="黑体" w:hAnsi="宋体" w:eastAsia="黑体" w:cs="Times New Roman"/>
          <w:color w:val="auto"/>
          <w:szCs w:val="24"/>
        </w:rPr>
        <w:t>田间管理</w:t>
      </w:r>
    </w:p>
    <w:p w14:paraId="2344475A">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hint="eastAsia" w:ascii="黑体" w:hAnsi="宋体" w:eastAsia="黑体" w:cs="Times New Roman"/>
          <w:color w:val="auto"/>
          <w:szCs w:val="24"/>
        </w:rPr>
        <w:t xml:space="preserve">.1  灌溉    </w:t>
      </w:r>
    </w:p>
    <w:p w14:paraId="0CC72DC5">
      <w:pPr>
        <w:spacing w:line="360" w:lineRule="auto"/>
        <w:rPr>
          <w:rFonts w:hint="eastAsia" w:ascii="宋体" w:hAnsi="宋体" w:eastAsia="宋体" w:cs="宋体"/>
          <w:color w:val="auto"/>
          <w:szCs w:val="21"/>
        </w:rPr>
      </w:pPr>
      <w:r>
        <w:rPr>
          <w:rFonts w:hint="eastAsia" w:ascii="宋体" w:hAnsi="宋体" w:eastAsia="宋体" w:cs="Times New Roman"/>
          <w:color w:val="auto"/>
          <w:szCs w:val="24"/>
        </w:rPr>
        <w:t xml:space="preserve">  </w:t>
      </w:r>
      <w:r>
        <w:rPr>
          <w:rFonts w:hint="eastAsia" w:ascii="宋体" w:hAnsi="宋体" w:eastAsia="宋体" w:cs="宋体"/>
          <w:color w:val="auto"/>
          <w:szCs w:val="24"/>
        </w:rPr>
        <w:t xml:space="preserve">  天气干旱情况下，有灌溉条件的地块，应适时浇灌。</w:t>
      </w:r>
      <w:r>
        <w:rPr>
          <w:rFonts w:hint="eastAsia" w:ascii="宋体" w:hAnsi="宋体" w:eastAsia="宋体" w:cs="宋体"/>
          <w:color w:val="auto"/>
          <w:szCs w:val="21"/>
        </w:rPr>
        <w:t>大豆苗期比较耐旱，只要不特别干旱，一般不用灌溉，苗期适当的抗旱锻炼有利于深扎根。苗期至开花期土壤湿度以20%～24%为宜，如低于18%，需灌溉，灌水量30mm；开花至鼓粒期土壤湿度以高于24%以上为宜，低于21%应及时灌溉，灌水量30mm～40mm。</w:t>
      </w:r>
    </w:p>
    <w:p w14:paraId="14CC4947">
      <w:pPr>
        <w:spacing w:line="360" w:lineRule="auto"/>
        <w:rPr>
          <w:rFonts w:hint="eastAsia" w:ascii="宋体" w:hAnsi="宋体" w:eastAsia="宋体" w:cs="宋体"/>
          <w:color w:val="auto"/>
          <w:szCs w:val="24"/>
        </w:rPr>
      </w:pPr>
      <w:r>
        <w:rPr>
          <w:rFonts w:hint="eastAsia" w:ascii="宋体" w:hAnsi="宋体" w:eastAsia="宋体" w:cs="宋体"/>
          <w:color w:val="auto"/>
          <w:szCs w:val="21"/>
        </w:rPr>
        <w:t xml:space="preserve">    灌溉方法因各地气候条件、栽培方式、水利设施等情况而定，可采用滴灌、喷灌、沟灌等方式，滴灌效果好于喷灌，喷灌效果好于沟灌，能节约用水40%～50%。</w:t>
      </w:r>
    </w:p>
    <w:p w14:paraId="59CF8224">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hint="eastAsia" w:ascii="黑体" w:hAnsi="宋体" w:eastAsia="黑体" w:cs="Times New Roman"/>
          <w:color w:val="auto"/>
          <w:szCs w:val="24"/>
        </w:rPr>
        <w:t>.2</w:t>
      </w:r>
      <w:r>
        <w:rPr>
          <w:rFonts w:ascii="黑体" w:hAnsi="宋体" w:eastAsia="黑体" w:cs="Times New Roman"/>
          <w:color w:val="auto"/>
          <w:szCs w:val="24"/>
        </w:rPr>
        <w:t xml:space="preserve">  </w:t>
      </w:r>
      <w:r>
        <w:rPr>
          <w:rFonts w:hint="eastAsia" w:ascii="黑体" w:hAnsi="宋体" w:eastAsia="黑体" w:cs="Times New Roman"/>
          <w:color w:val="auto"/>
          <w:szCs w:val="24"/>
        </w:rPr>
        <w:t>施肥</w:t>
      </w:r>
    </w:p>
    <w:p w14:paraId="1F136C8A">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hint="eastAsia" w:ascii="黑体" w:hAnsi="宋体" w:eastAsia="黑体" w:cs="Times New Roman"/>
          <w:color w:val="auto"/>
          <w:szCs w:val="24"/>
        </w:rPr>
        <w:t>.2.1总体要求</w:t>
      </w:r>
    </w:p>
    <w:p w14:paraId="74A6F0E1">
      <w:pPr>
        <w:spacing w:line="360" w:lineRule="auto"/>
        <w:ind w:firstLine="420" w:firstLineChars="200"/>
        <w:rPr>
          <w:rFonts w:hint="eastAsia" w:ascii="宋体" w:hAnsi="宋体" w:eastAsia="宋体" w:cs="Times New Roman"/>
          <w:color w:val="auto"/>
          <w:szCs w:val="24"/>
        </w:rPr>
      </w:pPr>
      <w:r>
        <w:rPr>
          <w:rFonts w:hint="eastAsia" w:ascii="宋体" w:hAnsi="宋体" w:eastAsia="宋体" w:cs="Times New Roman"/>
          <w:color w:val="auto"/>
          <w:szCs w:val="24"/>
        </w:rPr>
        <w:t>应符合NY/T 394的要求。</w:t>
      </w:r>
      <w:r>
        <w:rPr>
          <w:rFonts w:hint="eastAsia" w:ascii="宋体" w:hAnsi="宋体" w:eastAsia="宋体" w:cs="Times New Roman"/>
          <w:color w:val="auto"/>
          <w:szCs w:val="24"/>
          <w:lang w:eastAsia="zh-CN"/>
        </w:rPr>
        <w:t>以有机肥为基础，化肥合理减量使用，无机氮素和磷素用量不得高于</w:t>
      </w:r>
      <w:r>
        <w:rPr>
          <w:rFonts w:hint="eastAsia" w:ascii="宋体" w:hAnsi="宋体" w:eastAsia="宋体" w:cs="Times New Roman"/>
          <w:color w:val="auto"/>
          <w:szCs w:val="24"/>
        </w:rPr>
        <w:t>当季</w:t>
      </w:r>
      <w:r>
        <w:rPr>
          <w:rFonts w:hint="eastAsia" w:ascii="宋体" w:hAnsi="宋体" w:eastAsia="宋体" w:cs="Times New Roman"/>
          <w:color w:val="auto"/>
          <w:szCs w:val="24"/>
          <w:lang w:eastAsia="zh-CN"/>
        </w:rPr>
        <w:t>作物需求量的一半</w:t>
      </w:r>
      <w:r>
        <w:rPr>
          <w:rFonts w:hint="eastAsia" w:ascii="宋体" w:hAnsi="宋体" w:eastAsia="宋体" w:cs="Times New Roman"/>
          <w:color w:val="auto"/>
          <w:szCs w:val="24"/>
        </w:rPr>
        <w:t>。根据土壤供肥能力和土壤养分的平衡状况，以及气候、栽培等因素，进行测土配方平衡施肥，做到氮、磷、钾及中、微量元素合理搭配</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适量补充中微量元素（如钼、硼等）。</w:t>
      </w:r>
    </w:p>
    <w:p w14:paraId="741B61AC">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 xml:space="preserve">2.2 </w:t>
      </w:r>
      <w:r>
        <w:rPr>
          <w:rFonts w:ascii="黑体" w:hAnsi="宋体" w:eastAsia="黑体" w:cs="Times New Roman"/>
          <w:color w:val="auto"/>
          <w:szCs w:val="24"/>
        </w:rPr>
        <w:t xml:space="preserve"> </w:t>
      </w:r>
      <w:r>
        <w:rPr>
          <w:rFonts w:hint="eastAsia" w:ascii="黑体" w:hAnsi="宋体" w:eastAsia="黑体" w:cs="Times New Roman"/>
          <w:color w:val="auto"/>
          <w:szCs w:val="24"/>
        </w:rPr>
        <w:t>底肥</w:t>
      </w:r>
    </w:p>
    <w:p w14:paraId="46D842AD">
      <w:pPr>
        <w:spacing w:line="360" w:lineRule="auto"/>
        <w:rPr>
          <w:rFonts w:hint="eastAsia" w:ascii="宋体" w:hAnsi="宋体" w:eastAsia="宋体" w:cs="Times New Roman"/>
          <w:color w:val="auto"/>
          <w:szCs w:val="24"/>
        </w:rPr>
      </w:pPr>
      <w:r>
        <w:rPr>
          <w:rFonts w:hint="eastAsia" w:ascii="宋体" w:hAnsi="宋体" w:eastAsia="宋体" w:cs="Times New Roman"/>
          <w:color w:val="auto"/>
          <w:szCs w:val="24"/>
        </w:rPr>
        <w:t xml:space="preserve">    根据土壤肥力确定施肥量，结合整地一次施入。</w:t>
      </w:r>
      <w:r>
        <w:rPr>
          <w:rFonts w:hint="eastAsia" w:ascii="宋体" w:hAnsi="宋体" w:eastAsia="宋体" w:cs="Times New Roman"/>
          <w:bCs/>
          <w:color w:val="auto"/>
          <w:szCs w:val="24"/>
        </w:rPr>
        <w:t>宜每亩施用</w:t>
      </w:r>
      <w:r>
        <w:rPr>
          <w:rFonts w:hint="eastAsia" w:ascii="宋体" w:hAnsi="宋体" w:eastAsia="宋体" w:cs="Times New Roman"/>
          <w:bCs/>
          <w:color w:val="auto"/>
          <w:szCs w:val="24"/>
        </w:rPr>
        <w:t>腐熟有机肥2000～2667kg</w:t>
      </w:r>
      <w:r>
        <w:rPr>
          <w:rFonts w:hint="eastAsia" w:ascii="宋体" w:hAnsi="宋体" w:eastAsia="宋体" w:cs="Times New Roman"/>
          <w:bCs/>
          <w:color w:val="auto"/>
          <w:szCs w:val="24"/>
        </w:rPr>
        <w:t>。</w:t>
      </w:r>
    </w:p>
    <w:p w14:paraId="0AC0C065">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.2</w:t>
      </w:r>
      <w:r>
        <w:rPr>
          <w:rFonts w:hint="eastAsia" w:ascii="黑体" w:hAnsi="宋体" w:eastAsia="黑体" w:cs="Times New Roman"/>
          <w:color w:val="auto"/>
          <w:szCs w:val="24"/>
        </w:rPr>
        <w:t>.3  种肥</w:t>
      </w:r>
    </w:p>
    <w:p w14:paraId="1F739E06">
      <w:pPr>
        <w:spacing w:line="360" w:lineRule="auto"/>
        <w:rPr>
          <w:rFonts w:hint="eastAsia" w:ascii="宋体" w:hAnsi="宋体" w:eastAsia="宋体" w:cs="Times New Roman"/>
          <w:color w:val="auto"/>
          <w:szCs w:val="24"/>
        </w:rPr>
      </w:pPr>
      <w:r>
        <w:rPr>
          <w:rFonts w:ascii="宋体" w:hAnsi="宋体" w:eastAsia="宋体" w:cs="Times New Roman"/>
          <w:color w:val="auto"/>
          <w:szCs w:val="24"/>
        </w:rPr>
        <w:t xml:space="preserve">    </w:t>
      </w:r>
      <w:r>
        <w:rPr>
          <w:rFonts w:hint="eastAsia" w:ascii="宋体" w:hAnsi="宋体" w:eastAsia="宋体" w:cs="Times New Roman"/>
          <w:color w:val="auto"/>
          <w:szCs w:val="24"/>
        </w:rPr>
        <w:t>化肥做种肥，根据测土配方结果确定化肥用量。通常每亩施用磷酸二铵5</w:t>
      </w:r>
      <w:r>
        <w:rPr>
          <w:rFonts w:hint="eastAsia" w:ascii="Times New Roman" w:hAnsi="Times New Roman" w:eastAsia="宋体" w:cs="Times New Roman"/>
          <w:color w:val="auto"/>
          <w:szCs w:val="24"/>
        </w:rPr>
        <w:t>～</w:t>
      </w:r>
      <w:r>
        <w:rPr>
          <w:rFonts w:hint="eastAsia" w:ascii="宋体" w:hAnsi="宋体" w:eastAsia="宋体" w:cs="Times New Roman"/>
          <w:color w:val="auto"/>
          <w:szCs w:val="24"/>
        </w:rPr>
        <w:t>6.7kg，硫酸钾3.3</w:t>
      </w:r>
      <w:r>
        <w:rPr>
          <w:rFonts w:hint="eastAsia" w:ascii="Times New Roman" w:hAnsi="Times New Roman" w:eastAsia="宋体" w:cs="Times New Roman"/>
          <w:color w:val="auto"/>
          <w:szCs w:val="24"/>
        </w:rPr>
        <w:t>～</w:t>
      </w:r>
      <w:r>
        <w:rPr>
          <w:rFonts w:hint="eastAsia" w:ascii="宋体" w:hAnsi="宋体" w:eastAsia="宋体" w:cs="Times New Roman"/>
          <w:color w:val="auto"/>
          <w:szCs w:val="24"/>
        </w:rPr>
        <w:t>5kg。深施于种下4cm～5</w:t>
      </w:r>
      <w:r>
        <w:rPr>
          <w:rFonts w:ascii="宋体" w:hAnsi="宋体" w:eastAsia="宋体" w:cs="Times New Roman"/>
          <w:color w:val="auto"/>
          <w:szCs w:val="24"/>
        </w:rPr>
        <w:t>c</w:t>
      </w:r>
      <w:r>
        <w:rPr>
          <w:rFonts w:hint="eastAsia" w:ascii="宋体" w:hAnsi="宋体" w:eastAsia="宋体" w:cs="Times New Roman"/>
          <w:color w:val="auto"/>
          <w:szCs w:val="24"/>
        </w:rPr>
        <w:t>m处。</w:t>
      </w:r>
    </w:p>
    <w:p w14:paraId="562E5B44">
      <w:pPr>
        <w:spacing w:line="360" w:lineRule="auto"/>
        <w:rPr>
          <w:rFonts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2.4  叶面追肥</w:t>
      </w:r>
    </w:p>
    <w:p w14:paraId="7B59BF28">
      <w:pPr>
        <w:spacing w:line="360" w:lineRule="auto"/>
        <w:rPr>
          <w:rFonts w:hint="eastAsia" w:ascii="黑体" w:hAnsi="宋体" w:eastAsia="黑体" w:cs="Times New Roman"/>
          <w:color w:val="auto"/>
          <w:szCs w:val="24"/>
        </w:rPr>
      </w:pPr>
      <w:r>
        <w:rPr>
          <w:rFonts w:hint="eastAsia" w:ascii="宋体" w:hAnsi="宋体" w:eastAsia="宋体" w:cs="Times New Roman"/>
          <w:color w:val="auto"/>
          <w:szCs w:val="24"/>
        </w:rPr>
        <w:t xml:space="preserve">    大豆前期长势较差时，在大豆初花期，叶面追肥</w:t>
      </w:r>
      <w:r>
        <w:rPr>
          <w:rFonts w:hint="eastAsia" w:ascii="宋体" w:hAnsi="宋体" w:eastAsia="宋体" w:cs="Times New Roman"/>
          <w:bCs/>
          <w:color w:val="auto"/>
          <w:szCs w:val="24"/>
        </w:rPr>
        <w:t>。可选用尿素每亩0.5</w:t>
      </w:r>
      <w:r>
        <w:rPr>
          <w:rFonts w:hint="eastAsia" w:ascii="宋体" w:hAnsi="宋体" w:eastAsia="宋体" w:cs="Times New Roman"/>
          <w:color w:val="auto"/>
          <w:szCs w:val="24"/>
        </w:rPr>
        <w:t>～</w:t>
      </w:r>
      <w:r>
        <w:rPr>
          <w:rFonts w:hint="eastAsia" w:ascii="宋体" w:hAnsi="宋体" w:eastAsia="宋体" w:cs="Times New Roman"/>
          <w:bCs/>
          <w:color w:val="auto"/>
          <w:szCs w:val="24"/>
        </w:rPr>
        <w:t>0.7kg，磷酸二氢钾0.1kg,兑水33.3</w:t>
      </w:r>
      <w:r>
        <w:rPr>
          <w:rFonts w:hint="eastAsia" w:ascii="宋体" w:hAnsi="宋体" w:eastAsia="宋体" w:cs="Times New Roman"/>
          <w:color w:val="auto"/>
          <w:szCs w:val="24"/>
        </w:rPr>
        <w:t>～40</w:t>
      </w:r>
      <w:r>
        <w:rPr>
          <w:rFonts w:hint="eastAsia" w:ascii="宋体" w:hAnsi="宋体" w:eastAsia="宋体" w:cs="Times New Roman"/>
          <w:bCs/>
          <w:color w:val="auto"/>
          <w:szCs w:val="24"/>
        </w:rPr>
        <w:t>kg喷雾。</w:t>
      </w:r>
    </w:p>
    <w:p w14:paraId="61E04436">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  病虫草害防治</w:t>
      </w:r>
    </w:p>
    <w:p w14:paraId="02A0F441">
      <w:pPr>
        <w:spacing w:line="360" w:lineRule="auto"/>
        <w:rPr>
          <w:rFonts w:ascii="Times New Roman" w:hAnsi="Times New Roman" w:eastAsia="宋体" w:cs="Times New Roman"/>
          <w:color w:val="auto"/>
          <w:kern w:val="0"/>
          <w:szCs w:val="21"/>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w:t>
      </w:r>
      <w:r>
        <w:rPr>
          <w:rFonts w:ascii="黑体" w:hAnsi="宋体" w:eastAsia="黑体" w:cs="Times New Roman"/>
          <w:color w:val="auto"/>
          <w:szCs w:val="24"/>
        </w:rPr>
        <w:t>.</w:t>
      </w:r>
      <w:r>
        <w:rPr>
          <w:rFonts w:hint="eastAsia" w:ascii="黑体" w:hAnsi="宋体" w:eastAsia="黑体" w:cs="Times New Roman"/>
          <w:color w:val="auto"/>
          <w:szCs w:val="24"/>
        </w:rPr>
        <w:t xml:space="preserve">1  </w:t>
      </w:r>
      <w:r>
        <w:rPr>
          <w:rFonts w:hint="eastAsia" w:ascii="黑体" w:hAnsi="宋体" w:eastAsia="黑体" w:cs="Times New Roman"/>
          <w:bCs/>
          <w:color w:val="auto"/>
          <w:szCs w:val="24"/>
        </w:rPr>
        <w:t>防治原则</w:t>
      </w:r>
    </w:p>
    <w:p w14:paraId="6D2A8B37">
      <w:pPr>
        <w:spacing w:line="360" w:lineRule="auto"/>
        <w:ind w:firstLine="420" w:firstLineChars="20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坚持</w:t>
      </w:r>
      <w:r>
        <w:rPr>
          <w:rFonts w:hint="eastAsia" w:ascii="Times New Roman" w:hAnsi="Times New Roman" w:eastAsia="宋体" w:cs="Times New Roman"/>
          <w:color w:val="auto"/>
          <w:kern w:val="0"/>
          <w:szCs w:val="21"/>
        </w:rPr>
        <w:t>“</w:t>
      </w:r>
      <w:r>
        <w:rPr>
          <w:rFonts w:ascii="Times New Roman" w:hAnsi="Times New Roman" w:eastAsia="宋体" w:cs="Times New Roman"/>
          <w:color w:val="auto"/>
          <w:kern w:val="0"/>
          <w:szCs w:val="21"/>
        </w:rPr>
        <w:t>预防为主，综合防治</w:t>
      </w:r>
      <w:r>
        <w:rPr>
          <w:rFonts w:hint="eastAsia" w:ascii="Times New Roman" w:hAnsi="Times New Roman" w:eastAsia="宋体" w:cs="Times New Roman"/>
          <w:color w:val="auto"/>
          <w:kern w:val="0"/>
          <w:szCs w:val="21"/>
        </w:rPr>
        <w:t>”</w:t>
      </w:r>
      <w:r>
        <w:rPr>
          <w:rFonts w:ascii="Times New Roman" w:hAnsi="Times New Roman" w:eastAsia="宋体" w:cs="Times New Roman"/>
          <w:color w:val="auto"/>
          <w:kern w:val="0"/>
          <w:szCs w:val="21"/>
        </w:rPr>
        <w:t>的植保方针，以农业防治为基础，优先采用物理和生物防治技术，辅之化学防治措施。</w:t>
      </w:r>
    </w:p>
    <w:p w14:paraId="3257D830">
      <w:pPr>
        <w:spacing w:line="360" w:lineRule="auto"/>
        <w:rPr>
          <w:rFonts w:hint="eastAsia" w:ascii="黑体" w:hAnsi="宋体" w:eastAsia="黑体" w:cs="Times New Roman"/>
          <w:bCs/>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w:t>
      </w:r>
      <w:r>
        <w:rPr>
          <w:rFonts w:ascii="黑体" w:hAnsi="宋体" w:eastAsia="黑体" w:cs="Times New Roman"/>
          <w:color w:val="auto"/>
          <w:szCs w:val="24"/>
        </w:rPr>
        <w:t>.</w:t>
      </w:r>
      <w:r>
        <w:rPr>
          <w:rFonts w:hint="eastAsia" w:ascii="黑体" w:hAnsi="宋体" w:eastAsia="黑体" w:cs="Times New Roman"/>
          <w:color w:val="auto"/>
          <w:szCs w:val="24"/>
        </w:rPr>
        <w:t xml:space="preserve">2  </w:t>
      </w:r>
      <w:r>
        <w:rPr>
          <w:rFonts w:hint="eastAsia" w:ascii="黑体" w:hAnsi="宋体" w:eastAsia="黑体" w:cs="Times New Roman"/>
          <w:bCs/>
          <w:color w:val="auto"/>
          <w:szCs w:val="24"/>
        </w:rPr>
        <w:t>常见病虫害</w:t>
      </w:r>
    </w:p>
    <w:p w14:paraId="732EB1FD">
      <w:pPr>
        <w:spacing w:line="360" w:lineRule="auto"/>
        <w:ind w:firstLine="420"/>
        <w:rPr>
          <w:rFonts w:hint="eastAsia" w:ascii="宋体" w:hAnsi="宋体" w:eastAsia="宋体" w:cs="宋体"/>
          <w:color w:val="auto"/>
          <w:szCs w:val="21"/>
        </w:rPr>
      </w:pPr>
      <w:r>
        <w:rPr>
          <w:rFonts w:hint="eastAsia" w:ascii="宋体" w:hAnsi="宋体" w:eastAsia="宋体" w:cs="Times New Roman"/>
          <w:color w:val="auto"/>
          <w:szCs w:val="24"/>
        </w:rPr>
        <w:t>主要病害：灰斑病、病毒病、</w:t>
      </w:r>
      <w:r>
        <w:rPr>
          <w:rFonts w:ascii="Times New Roman" w:hAnsi="Times New Roman" w:eastAsia="宋体" w:cs="Times New Roman"/>
          <w:color w:val="auto"/>
          <w:szCs w:val="24"/>
        </w:rPr>
        <w:t>霜霉病</w:t>
      </w:r>
      <w:r>
        <w:rPr>
          <w:rFonts w:hint="eastAsia" w:ascii="Times New Roman" w:hAnsi="Times New Roman" w:eastAsia="宋体" w:cs="Times New Roman"/>
          <w:color w:val="auto"/>
          <w:szCs w:val="24"/>
        </w:rPr>
        <w:t>、</w:t>
      </w:r>
      <w:r>
        <w:rPr>
          <w:rFonts w:hint="eastAsia" w:ascii="宋体" w:hAnsi="宋体" w:eastAsia="宋体" w:cs="宋体"/>
          <w:color w:val="auto"/>
          <w:szCs w:val="21"/>
        </w:rPr>
        <w:t>菌核病、根腐病等。</w:t>
      </w:r>
    </w:p>
    <w:p w14:paraId="5470A10F">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rPr>
        <w:t>主要虫害：蚜虫、食心虫、红蜘蛛等。</w:t>
      </w:r>
    </w:p>
    <w:p w14:paraId="17FFC822">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rPr>
        <w:t>主要草害：</w:t>
      </w:r>
      <w:r>
        <w:rPr>
          <w:rFonts w:ascii="宋体" w:hAnsi="宋体" w:eastAsia="宋体" w:cs="Times New Roman"/>
          <w:color w:val="auto"/>
          <w:szCs w:val="24"/>
        </w:rPr>
        <w:t>稗草</w:t>
      </w:r>
      <w:r>
        <w:rPr>
          <w:rFonts w:hint="eastAsia" w:ascii="宋体" w:hAnsi="宋体" w:eastAsia="宋体" w:cs="Times New Roman"/>
          <w:color w:val="auto"/>
          <w:szCs w:val="24"/>
        </w:rPr>
        <w:t>、</w:t>
      </w:r>
      <w:r>
        <w:rPr>
          <w:rFonts w:ascii="宋体" w:hAnsi="宋体" w:eastAsia="宋体" w:cs="Times New Roman"/>
          <w:color w:val="auto"/>
          <w:szCs w:val="24"/>
        </w:rPr>
        <w:t>狗尾草、</w:t>
      </w:r>
      <w:r>
        <w:rPr>
          <w:rFonts w:hint="eastAsia" w:ascii="宋体" w:hAnsi="宋体" w:eastAsia="宋体" w:cs="Times New Roman"/>
          <w:color w:val="auto"/>
          <w:szCs w:val="24"/>
        </w:rPr>
        <w:t>鸭跖草、刺儿菜、大刺儿菜、问荆、苣荬菜、龙葵、苘麻、苍耳、野黍等。</w:t>
      </w:r>
    </w:p>
    <w:p w14:paraId="391BBAA6">
      <w:pPr>
        <w:spacing w:line="360" w:lineRule="auto"/>
        <w:rPr>
          <w:rFonts w:hint="eastAsia" w:ascii="黑体" w:hAnsi="宋体" w:eastAsia="黑体" w:cs="Times New Roman"/>
          <w:bCs/>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w:t>
      </w:r>
      <w:r>
        <w:rPr>
          <w:rFonts w:ascii="黑体" w:hAnsi="宋体" w:eastAsia="黑体" w:cs="Times New Roman"/>
          <w:color w:val="auto"/>
          <w:szCs w:val="24"/>
        </w:rPr>
        <w:t>.</w:t>
      </w:r>
      <w:r>
        <w:rPr>
          <w:rFonts w:hint="eastAsia" w:ascii="黑体" w:hAnsi="宋体" w:eastAsia="黑体" w:cs="Times New Roman"/>
          <w:color w:val="auto"/>
          <w:szCs w:val="24"/>
        </w:rPr>
        <w:t xml:space="preserve">3  </w:t>
      </w:r>
      <w:r>
        <w:rPr>
          <w:rFonts w:hint="eastAsia" w:ascii="黑体" w:hAnsi="宋体" w:eastAsia="黑体" w:cs="Times New Roman"/>
          <w:bCs/>
          <w:color w:val="auto"/>
          <w:szCs w:val="24"/>
        </w:rPr>
        <w:t>防治措施</w:t>
      </w:r>
    </w:p>
    <w:p w14:paraId="12A04A10">
      <w:pPr>
        <w:spacing w:line="360" w:lineRule="auto"/>
        <w:rPr>
          <w:rFonts w:hint="eastAsia" w:ascii="黑体" w:hAnsi="宋体" w:eastAsia="黑体" w:cs="Times New Roman"/>
          <w:bCs/>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w:t>
      </w:r>
      <w:r>
        <w:rPr>
          <w:rFonts w:ascii="黑体" w:hAnsi="宋体" w:eastAsia="黑体" w:cs="Times New Roman"/>
          <w:color w:val="auto"/>
          <w:szCs w:val="24"/>
        </w:rPr>
        <w:t>.</w:t>
      </w:r>
      <w:r>
        <w:rPr>
          <w:rFonts w:hint="eastAsia" w:ascii="黑体" w:hAnsi="宋体" w:eastAsia="黑体" w:cs="Times New Roman"/>
          <w:color w:val="auto"/>
          <w:szCs w:val="24"/>
        </w:rPr>
        <w:t xml:space="preserve">3.1  </w:t>
      </w:r>
      <w:r>
        <w:rPr>
          <w:rFonts w:hint="eastAsia" w:ascii="黑体" w:hAnsi="宋体" w:eastAsia="黑体" w:cs="Times New Roman"/>
          <w:bCs/>
          <w:color w:val="auto"/>
          <w:szCs w:val="24"/>
        </w:rPr>
        <w:t>农业防治</w:t>
      </w:r>
    </w:p>
    <w:p w14:paraId="1FA29143">
      <w:pPr>
        <w:spacing w:line="360" w:lineRule="auto"/>
        <w:ind w:firstLine="420"/>
        <w:rPr>
          <w:rFonts w:hint="eastAsia" w:ascii="宋体" w:hAnsi="宋体" w:eastAsia="宋体" w:cs="Times New Roman"/>
          <w:color w:val="auto"/>
          <w:szCs w:val="24"/>
          <w:lang w:eastAsia="zh-CN"/>
        </w:rPr>
      </w:pPr>
      <w:r>
        <w:rPr>
          <w:rFonts w:hint="eastAsia" w:ascii="Times New Roman" w:hAnsi="Times New Roman" w:eastAsia="宋体" w:cs="Times New Roman"/>
          <w:color w:val="auto"/>
          <w:szCs w:val="24"/>
        </w:rPr>
        <w:t>病虫害防治：选用多抗品种，合理轮作和耕作，合理密植和施肥，精细管理，</w:t>
      </w:r>
      <w:r>
        <w:rPr>
          <w:rFonts w:hint="eastAsia" w:ascii="宋体" w:hAnsi="宋体" w:eastAsia="宋体" w:cs="Times New Roman"/>
          <w:color w:val="auto"/>
          <w:szCs w:val="24"/>
        </w:rPr>
        <w:t>培育壮苗，季节及时拔除中心病株，摘除病叶、病荚，收获后及时清除田间病残体和杂草，带出田外集中深埋或销毁</w:t>
      </w:r>
      <w:r>
        <w:rPr>
          <w:rFonts w:hint="eastAsia" w:ascii="宋体" w:hAnsi="宋体" w:eastAsia="宋体" w:cs="Times New Roman"/>
          <w:color w:val="auto"/>
          <w:szCs w:val="24"/>
          <w:lang w:eastAsia="zh-CN"/>
        </w:rPr>
        <w:t>。</w:t>
      </w:r>
    </w:p>
    <w:p w14:paraId="7CEBE6DE">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rPr>
        <w:t>草害防治：在苗期进行垄沟深松，深度20cm以上；在初花期前后进行中耕培土1次，深度10～15cm；在盛花期前后进行第二次中耕培土，深度15cm以上。</w:t>
      </w:r>
    </w:p>
    <w:p w14:paraId="7B29A816">
      <w:pPr>
        <w:spacing w:line="360" w:lineRule="auto"/>
        <w:rPr>
          <w:rFonts w:hint="eastAsia" w:ascii="黑体" w:hAnsi="宋体" w:eastAsia="黑体" w:cs="Times New Roman"/>
          <w:bCs/>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w:t>
      </w:r>
      <w:r>
        <w:rPr>
          <w:rFonts w:ascii="黑体" w:hAnsi="宋体" w:eastAsia="黑体" w:cs="Times New Roman"/>
          <w:color w:val="auto"/>
          <w:szCs w:val="24"/>
        </w:rPr>
        <w:t>.</w:t>
      </w:r>
      <w:r>
        <w:rPr>
          <w:rFonts w:hint="eastAsia" w:ascii="黑体" w:hAnsi="宋体" w:eastAsia="黑体" w:cs="Times New Roman"/>
          <w:color w:val="auto"/>
          <w:szCs w:val="24"/>
        </w:rPr>
        <w:t>3.</w:t>
      </w:r>
      <w:r>
        <w:rPr>
          <w:rFonts w:hint="eastAsia" w:ascii="黑体" w:hAnsi="宋体" w:eastAsia="黑体" w:cs="Times New Roman"/>
          <w:color w:val="auto"/>
          <w:szCs w:val="24"/>
          <w:lang w:val="en-US" w:eastAsia="zh-CN"/>
        </w:rPr>
        <w:t>2</w:t>
      </w:r>
      <w:r>
        <w:rPr>
          <w:rFonts w:hint="eastAsia" w:ascii="黑体" w:hAnsi="宋体" w:eastAsia="黑体" w:cs="Times New Roman"/>
          <w:color w:val="auto"/>
          <w:szCs w:val="24"/>
        </w:rPr>
        <w:t xml:space="preserve"> 物理</w:t>
      </w:r>
      <w:r>
        <w:rPr>
          <w:rFonts w:hint="eastAsia" w:ascii="黑体" w:hAnsi="宋体" w:eastAsia="黑体" w:cs="Times New Roman"/>
          <w:bCs/>
          <w:color w:val="auto"/>
          <w:szCs w:val="24"/>
        </w:rPr>
        <w:t>防治</w:t>
      </w:r>
    </w:p>
    <w:p w14:paraId="1E265041">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lang w:eastAsia="zh-CN"/>
        </w:rPr>
        <w:t>可</w:t>
      </w:r>
      <w:r>
        <w:rPr>
          <w:rFonts w:hint="eastAsia" w:ascii="宋体" w:hAnsi="宋体" w:eastAsia="宋体" w:cs="Times New Roman"/>
          <w:color w:val="auto"/>
          <w:szCs w:val="24"/>
        </w:rPr>
        <w:t>设置频振式杀虫灯或太阳能杀虫灯</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每30-50亩设置一盏灯，灯底部距作物顶端1.0 m-1.5 m为宜。悬挂黄板，可诱杀</w:t>
      </w:r>
      <w:r>
        <w:rPr>
          <w:rFonts w:hint="eastAsia" w:ascii="宋体" w:hAnsi="宋体" w:eastAsia="宋体" w:cs="Times New Roman"/>
          <w:color w:val="auto"/>
          <w:szCs w:val="24"/>
          <w:lang w:eastAsia="zh-CN"/>
        </w:rPr>
        <w:t>蚜虫</w:t>
      </w:r>
      <w:r>
        <w:rPr>
          <w:rFonts w:hint="eastAsia" w:ascii="宋体" w:hAnsi="宋体" w:eastAsia="宋体" w:cs="Times New Roman"/>
          <w:color w:val="auto"/>
          <w:szCs w:val="24"/>
        </w:rPr>
        <w:t>等害虫</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每亩悬挂20-25块，棋盘式分布，悬挂高度为高出植株顶端15 cm-20 cm</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需定期更换</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对于集约化育苗的苗床或小面积的高价值大豆生产，可采用40-60目的防虫网进行全程覆盖，有效阻隔蚜虫、食心虫等害虫的迁入和为害。</w:t>
      </w:r>
    </w:p>
    <w:p w14:paraId="617D0FAD">
      <w:pPr>
        <w:spacing w:line="360" w:lineRule="auto"/>
        <w:rPr>
          <w:rFonts w:hint="eastAsia" w:ascii="宋体" w:hAnsi="宋体" w:eastAsia="宋体" w:cs="Times New Roman"/>
          <w:color w:val="auto"/>
          <w:szCs w:val="24"/>
          <w:lang w:eastAsia="zh-CN"/>
        </w:rPr>
      </w:pPr>
      <w:r>
        <w:rPr>
          <w:rFonts w:hint="eastAsia" w:ascii="宋体" w:hAnsi="宋体" w:eastAsia="宋体" w:cs="Times New Roman"/>
          <w:color w:val="auto"/>
          <w:szCs w:val="24"/>
        </w:rPr>
        <w:t>对于发生集中、危害症状明显的害虫，可结合农事操作进行人工捕杀。</w:t>
      </w:r>
    </w:p>
    <w:p w14:paraId="1A883022">
      <w:pPr>
        <w:spacing w:line="360" w:lineRule="auto"/>
        <w:rPr>
          <w:rFonts w:hint="eastAsia" w:ascii="黑体" w:hAnsi="宋体" w:eastAsia="黑体" w:cs="Times New Roman"/>
          <w:bCs/>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w:t>
      </w:r>
      <w:r>
        <w:rPr>
          <w:rFonts w:ascii="黑体" w:hAnsi="宋体" w:eastAsia="黑体" w:cs="Times New Roman"/>
          <w:color w:val="auto"/>
          <w:szCs w:val="24"/>
        </w:rPr>
        <w:t>.</w:t>
      </w:r>
      <w:r>
        <w:rPr>
          <w:rFonts w:hint="eastAsia" w:ascii="黑体" w:hAnsi="宋体" w:eastAsia="黑体" w:cs="Times New Roman"/>
          <w:color w:val="auto"/>
          <w:szCs w:val="24"/>
        </w:rPr>
        <w:t>3.</w:t>
      </w:r>
      <w:r>
        <w:rPr>
          <w:rFonts w:hint="eastAsia" w:ascii="黑体" w:hAnsi="宋体" w:eastAsia="黑体" w:cs="Times New Roman"/>
          <w:color w:val="auto"/>
          <w:szCs w:val="24"/>
          <w:lang w:val="en-US" w:eastAsia="zh-CN"/>
        </w:rPr>
        <w:t>3</w:t>
      </w:r>
      <w:r>
        <w:rPr>
          <w:rFonts w:hint="eastAsia" w:ascii="黑体" w:hAnsi="宋体" w:eastAsia="黑体" w:cs="Times New Roman"/>
          <w:color w:val="auto"/>
          <w:szCs w:val="24"/>
        </w:rPr>
        <w:t xml:space="preserve">  生物</w:t>
      </w:r>
      <w:r>
        <w:rPr>
          <w:rFonts w:hint="eastAsia" w:ascii="黑体" w:hAnsi="宋体" w:eastAsia="黑体" w:cs="Times New Roman"/>
          <w:bCs/>
          <w:color w:val="auto"/>
          <w:szCs w:val="24"/>
        </w:rPr>
        <w:t>防治</w:t>
      </w:r>
    </w:p>
    <w:p w14:paraId="6509F4DB">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rPr>
        <w:t>选用低毒生物农药，释放天敌等生物措施防治病虫害。在7月下旬</w:t>
      </w:r>
      <w:r>
        <w:rPr>
          <w:rFonts w:hint="eastAsia" w:ascii="Times New Roman" w:hAnsi="Times New Roman" w:eastAsia="宋体" w:cs="Times New Roman"/>
          <w:color w:val="auto"/>
          <w:szCs w:val="24"/>
        </w:rPr>
        <w:t>～</w:t>
      </w:r>
      <w:r>
        <w:rPr>
          <w:rFonts w:hint="eastAsia" w:ascii="宋体" w:hAnsi="宋体" w:eastAsia="宋体" w:cs="Times New Roman"/>
          <w:color w:val="auto"/>
          <w:szCs w:val="24"/>
        </w:rPr>
        <w:t>8月中旬，食心虫雌虫产卵盛期，可释放赤眼蜂进行防治，放蜂量为每</w:t>
      </w:r>
      <w:r>
        <w:rPr>
          <w:rFonts w:hint="eastAsia" w:ascii="宋体" w:hAnsi="宋体" w:eastAsia="宋体" w:cs="宋体"/>
          <w:color w:val="auto"/>
          <w:szCs w:val="24"/>
        </w:rPr>
        <w:t>亩2～3万头。</w:t>
      </w:r>
      <w:r>
        <w:rPr>
          <w:rFonts w:hint="eastAsia" w:ascii="宋体" w:hAnsi="宋体" w:eastAsia="宋体" w:cs="Times New Roman"/>
          <w:color w:val="auto"/>
          <w:szCs w:val="24"/>
        </w:rPr>
        <w:t>针对大豆食心虫等具有明显趋化性的害虫，可在其成虫羽化期，每亩设置3~5个性信息素诱捕器，诱杀雄蛾，干扰其正常交配，降低田间落卵量和虫口密度</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注意应定期更换诱芯。</w:t>
      </w:r>
    </w:p>
    <w:p w14:paraId="703BCFC8">
      <w:pPr>
        <w:spacing w:line="360" w:lineRule="auto"/>
        <w:rPr>
          <w:rFonts w:hint="eastAsia" w:ascii="Times New Roman" w:hAnsi="Times New Roman" w:eastAsia="宋体" w:cs="Times New Roman"/>
          <w:color w:val="auto"/>
          <w:szCs w:val="24"/>
        </w:rPr>
      </w:pPr>
      <w:r>
        <w:rPr>
          <w:rFonts w:hint="eastAsia" w:ascii="黑体" w:hAnsi="宋体" w:eastAsia="黑体" w:cs="Times New Roman"/>
          <w:color w:val="auto"/>
          <w:szCs w:val="24"/>
          <w:lang w:val="en-US" w:eastAsia="zh-CN"/>
        </w:rPr>
        <w:t>8</w:t>
      </w:r>
      <w:r>
        <w:rPr>
          <w:rFonts w:ascii="黑体" w:hAnsi="宋体" w:eastAsia="黑体" w:cs="Times New Roman"/>
          <w:color w:val="auto"/>
          <w:szCs w:val="24"/>
        </w:rPr>
        <w:t>.</w:t>
      </w:r>
      <w:r>
        <w:rPr>
          <w:rFonts w:hint="eastAsia" w:ascii="黑体" w:hAnsi="宋体" w:eastAsia="黑体" w:cs="Times New Roman"/>
          <w:color w:val="auto"/>
          <w:szCs w:val="24"/>
        </w:rPr>
        <w:t>3</w:t>
      </w:r>
      <w:r>
        <w:rPr>
          <w:rFonts w:ascii="黑体" w:hAnsi="宋体" w:eastAsia="黑体" w:cs="Times New Roman"/>
          <w:color w:val="auto"/>
          <w:szCs w:val="24"/>
        </w:rPr>
        <w:t>.</w:t>
      </w:r>
      <w:r>
        <w:rPr>
          <w:rFonts w:hint="eastAsia" w:ascii="黑体" w:hAnsi="宋体" w:eastAsia="黑体" w:cs="Times New Roman"/>
          <w:color w:val="auto"/>
          <w:szCs w:val="24"/>
        </w:rPr>
        <w:t>3.</w:t>
      </w:r>
      <w:r>
        <w:rPr>
          <w:rFonts w:hint="eastAsia" w:ascii="黑体" w:hAnsi="宋体" w:eastAsia="黑体" w:cs="Times New Roman"/>
          <w:color w:val="auto"/>
          <w:szCs w:val="24"/>
          <w:lang w:val="en-US" w:eastAsia="zh-CN"/>
        </w:rPr>
        <w:t>4</w:t>
      </w:r>
      <w:r>
        <w:rPr>
          <w:rFonts w:hint="eastAsia" w:ascii="黑体" w:hAnsi="宋体" w:eastAsia="黑体" w:cs="Times New Roman"/>
          <w:color w:val="auto"/>
          <w:szCs w:val="24"/>
        </w:rPr>
        <w:t xml:space="preserve">  化学防治</w:t>
      </w:r>
    </w:p>
    <w:p w14:paraId="2704581E">
      <w:pPr>
        <w:tabs>
          <w:tab w:val="center" w:pos="4201"/>
          <w:tab w:val="right" w:leader="dot" w:pos="9298"/>
        </w:tabs>
        <w:autoSpaceDE w:val="0"/>
        <w:autoSpaceDN w:val="0"/>
        <w:spacing w:line="360" w:lineRule="auto"/>
        <w:ind w:firstLine="420" w:firstLineChars="200"/>
        <w:jc w:val="both"/>
        <w:rPr>
          <w:rFonts w:hint="eastAsia" w:ascii="黑体" w:hAnsi="宋体" w:eastAsia="黑体" w:cs="Times New Roman"/>
          <w:color w:val="auto"/>
          <w:sz w:val="21"/>
          <w:lang w:val="en-US" w:eastAsia="zh-CN" w:bidi="ar-SA"/>
        </w:rPr>
      </w:pPr>
      <w:r>
        <w:rPr>
          <w:rFonts w:hint="eastAsia" w:ascii="Times New Roman" w:hAnsi="Times New Roman" w:eastAsia="宋体" w:cs="Times New Roman"/>
          <w:color w:val="auto"/>
          <w:kern w:val="0"/>
          <w:szCs w:val="21"/>
          <w:lang w:eastAsia="zh-CN"/>
        </w:rPr>
        <w:t>化学防治</w:t>
      </w:r>
      <w:r>
        <w:rPr>
          <w:rFonts w:ascii="Times New Roman" w:hAnsi="Times New Roman" w:eastAsia="宋体" w:cs="Times New Roman"/>
          <w:color w:val="auto"/>
          <w:kern w:val="0"/>
          <w:szCs w:val="21"/>
        </w:rPr>
        <w:t>应使用高效、低毒、低残留农药，药剂选择和使用应符合NY/T 393的要求。</w:t>
      </w:r>
      <w:r>
        <w:rPr>
          <w:rFonts w:hint="eastAsia" w:ascii="宋体" w:hAnsi="宋体" w:eastAsia="宋体" w:cs="Times New Roman"/>
          <w:color w:val="auto"/>
          <w:sz w:val="21"/>
          <w:lang w:val="en-US" w:eastAsia="zh-CN" w:bidi="ar-SA"/>
        </w:rPr>
        <w:t>具体防治方案参见附录A。</w:t>
      </w:r>
    </w:p>
    <w:p w14:paraId="33B09834">
      <w:pPr>
        <w:spacing w:line="360" w:lineRule="auto"/>
        <w:rPr>
          <w:rFonts w:hint="eastAsia" w:ascii="黑体" w:hAnsi="宋体" w:eastAsia="黑体" w:cs="Times New Roman"/>
          <w:color w:val="auto"/>
          <w:szCs w:val="24"/>
        </w:rPr>
      </w:pPr>
      <w:r>
        <w:rPr>
          <w:rFonts w:hint="eastAsia" w:ascii="黑体" w:hAnsi="宋体" w:eastAsia="黑体" w:cs="Times New Roman"/>
          <w:color w:val="auto"/>
          <w:szCs w:val="24"/>
          <w:lang w:val="en-US" w:eastAsia="zh-CN"/>
        </w:rPr>
        <w:t>9</w:t>
      </w:r>
      <w:r>
        <w:rPr>
          <w:rFonts w:hint="eastAsia" w:ascii="黑体" w:hAnsi="宋体" w:eastAsia="黑体" w:cs="Times New Roman"/>
          <w:color w:val="auto"/>
          <w:szCs w:val="24"/>
        </w:rPr>
        <w:t xml:space="preserve">  采收</w:t>
      </w:r>
    </w:p>
    <w:p w14:paraId="79F91A00">
      <w:pPr>
        <w:spacing w:line="360" w:lineRule="auto"/>
        <w:ind w:firstLine="420"/>
        <w:rPr>
          <w:rFonts w:hint="eastAsia" w:ascii="宋体" w:hAnsi="宋体" w:eastAsia="宋体" w:cs="Times New Roman"/>
          <w:color w:val="auto"/>
          <w:szCs w:val="24"/>
        </w:rPr>
      </w:pPr>
      <w:r>
        <w:rPr>
          <w:rFonts w:hint="eastAsia" w:ascii="宋体" w:hAnsi="宋体" w:eastAsia="宋体" w:cs="Times New Roman"/>
          <w:color w:val="auto"/>
          <w:szCs w:val="24"/>
        </w:rPr>
        <w:t>茎叶及豆荚变黄，在大豆完熟期时采取机械采收，割茬高度以不留底荚为准，不丢枝、不炸荚</w:t>
      </w:r>
      <w:r>
        <w:rPr>
          <w:rFonts w:hint="eastAsia" w:ascii="宋体" w:hAnsi="宋体" w:eastAsia="宋体" w:cs="宋体"/>
          <w:color w:val="auto"/>
          <w:szCs w:val="24"/>
        </w:rPr>
        <w:t>。</w:t>
      </w:r>
      <w:r>
        <w:rPr>
          <w:rFonts w:hint="eastAsia" w:ascii="宋体" w:hAnsi="宋体" w:eastAsia="宋体" w:cs="宋体"/>
          <w:color w:val="auto"/>
          <w:szCs w:val="21"/>
        </w:rPr>
        <w:t>采收后的大豆子粒应及时晾干、清选，籽粒水分含量应≤13%，杂质应≤1%，纯粮率应≥95%。</w:t>
      </w:r>
    </w:p>
    <w:p w14:paraId="0C9C5916">
      <w:pPr>
        <w:spacing w:line="360" w:lineRule="auto"/>
        <w:rPr>
          <w:rFonts w:hint="eastAsia" w:ascii="黑体" w:hAnsi="黑体" w:eastAsia="黑体" w:cs="Times New Roman"/>
          <w:color w:val="auto"/>
          <w:szCs w:val="21"/>
        </w:rPr>
      </w:pPr>
      <w:r>
        <w:rPr>
          <w:rFonts w:hint="eastAsia" w:ascii="黑体" w:hAnsi="黑体" w:eastAsia="黑体" w:cs="Times New Roman"/>
          <w:color w:val="auto"/>
          <w:szCs w:val="21"/>
        </w:rPr>
        <w:t>9  生产废弃物处理</w:t>
      </w:r>
    </w:p>
    <w:p w14:paraId="60082676">
      <w:pPr>
        <w:spacing w:line="360" w:lineRule="auto"/>
        <w:rPr>
          <w:rFonts w:hint="eastAsia" w:ascii="宋体" w:hAnsi="宋体" w:eastAsia="宋体" w:cs="Times New Roman"/>
          <w:color w:val="auto"/>
          <w:szCs w:val="24"/>
        </w:rPr>
      </w:pPr>
      <w:r>
        <w:rPr>
          <w:rFonts w:hint="eastAsia" w:ascii="宋体" w:hAnsi="宋体" w:eastAsia="宋体" w:cs="宋体"/>
          <w:color w:val="auto"/>
          <w:szCs w:val="21"/>
        </w:rPr>
        <w:t xml:space="preserve">    除草剂、杀菌剂、杀虫剂、种衣剂以及包衣种子的包装物不得重复使用，使用后应焚烧、深埋或集中处理，且不能引起环境污染。采收后的大豆秸秆应粉碎抛洒还田，不得在田间焚烧，也可将其收集整理后用于其他用途。</w:t>
      </w:r>
    </w:p>
    <w:p w14:paraId="6E32B1B6">
      <w:pPr>
        <w:spacing w:line="360" w:lineRule="auto"/>
        <w:rPr>
          <w:rFonts w:hint="eastAsia" w:ascii="黑体" w:hAnsi="黑体" w:eastAsia="黑体" w:cs="Times New Roman"/>
          <w:color w:val="auto"/>
          <w:szCs w:val="21"/>
        </w:rPr>
      </w:pPr>
      <w:r>
        <w:rPr>
          <w:rFonts w:hint="eastAsia" w:ascii="黑体" w:hAnsi="黑体" w:eastAsia="黑体" w:cs="Times New Roman"/>
          <w:color w:val="auto"/>
          <w:szCs w:val="21"/>
        </w:rPr>
        <w:t xml:space="preserve">10  </w:t>
      </w:r>
      <w:r>
        <w:rPr>
          <w:rFonts w:hint="eastAsia" w:ascii="黑体" w:hAnsi="黑体" w:eastAsia="黑体" w:cs="Times New Roman"/>
          <w:color w:val="auto"/>
          <w:szCs w:val="21"/>
          <w:lang w:eastAsia="zh-CN"/>
        </w:rPr>
        <w:t>储藏</w:t>
      </w:r>
      <w:r>
        <w:rPr>
          <w:rFonts w:hint="eastAsia" w:ascii="黑体" w:hAnsi="黑体" w:eastAsia="黑体" w:cs="Times New Roman"/>
          <w:color w:val="auto"/>
          <w:szCs w:val="21"/>
        </w:rPr>
        <w:t xml:space="preserve">  </w:t>
      </w:r>
    </w:p>
    <w:p w14:paraId="5A6C800F">
      <w:pPr>
        <w:spacing w:line="360" w:lineRule="auto"/>
        <w:ind w:firstLine="420" w:firstLineChars="200"/>
        <w:contextualSpacing/>
        <w:rPr>
          <w:rFonts w:hint="default" w:ascii="宋体" w:hAnsi="宋体" w:eastAsia="宋体" w:cs="宋体"/>
          <w:color w:val="auto"/>
          <w:sz w:val="28"/>
          <w:szCs w:val="28"/>
          <w:lang w:val="en-US" w:eastAsia="zh-CN"/>
        </w:rPr>
      </w:pPr>
      <w:r>
        <w:rPr>
          <w:rFonts w:hint="eastAsia" w:ascii="宋体" w:hAnsi="宋体" w:eastAsia="宋体" w:cs="Times New Roman"/>
          <w:color w:val="auto"/>
          <w:szCs w:val="24"/>
          <w:lang w:eastAsia="zh-CN"/>
        </w:rPr>
        <w:t>储藏</w:t>
      </w:r>
      <w:r>
        <w:rPr>
          <w:rFonts w:hint="eastAsia" w:ascii="宋体" w:hAnsi="宋体" w:eastAsia="宋体" w:cs="Times New Roman"/>
          <w:color w:val="auto"/>
          <w:szCs w:val="24"/>
        </w:rPr>
        <w:t>时，籽粒含水量要在13%以下。</w:t>
      </w:r>
      <w:r>
        <w:rPr>
          <w:rFonts w:hint="eastAsia" w:ascii="宋体" w:hAnsi="宋体" w:eastAsia="宋体" w:cs="Times New Roman"/>
          <w:color w:val="auto"/>
          <w:szCs w:val="24"/>
          <w:lang w:eastAsia="zh-CN"/>
        </w:rPr>
        <w:t>储藏</w:t>
      </w:r>
      <w:r>
        <w:rPr>
          <w:rFonts w:hint="eastAsia" w:ascii="宋体" w:hAnsi="宋体" w:eastAsia="宋体" w:cs="Times New Roman"/>
          <w:color w:val="auto"/>
          <w:szCs w:val="24"/>
        </w:rPr>
        <w:t>设施、周围环境、卫生要求、出入库、堆放等应符合NY/T 1056的要求</w:t>
      </w:r>
      <w:r>
        <w:rPr>
          <w:rFonts w:hint="eastAsia" w:ascii="宋体" w:hAnsi="宋体" w:eastAsia="宋体" w:cs="Times New Roman"/>
          <w:color w:val="auto"/>
          <w:szCs w:val="24"/>
          <w:lang w:eastAsia="zh-CN"/>
        </w:rPr>
        <w:t>。储藏</w:t>
      </w:r>
      <w:r>
        <w:rPr>
          <w:rFonts w:hint="eastAsia" w:ascii="宋体" w:hAnsi="宋体" w:eastAsia="宋体" w:cs="Times New Roman"/>
          <w:color w:val="auto"/>
          <w:szCs w:val="24"/>
        </w:rPr>
        <w:t>设施要</w:t>
      </w:r>
      <w:r>
        <w:rPr>
          <w:rFonts w:hint="eastAsia" w:ascii="宋体" w:hAnsi="宋体" w:eastAsia="宋体" w:cs="Times New Roman"/>
          <w:color w:val="auto"/>
          <w:szCs w:val="24"/>
          <w:lang w:eastAsia="zh-CN"/>
        </w:rPr>
        <w:t>具备</w:t>
      </w:r>
      <w:r>
        <w:rPr>
          <w:rFonts w:hint="eastAsia" w:ascii="宋体" w:hAnsi="宋体" w:eastAsia="宋体" w:cs="Times New Roman"/>
          <w:color w:val="auto"/>
          <w:szCs w:val="24"/>
        </w:rPr>
        <w:t>防虫、防鼠、防潮等功能</w:t>
      </w:r>
      <w:r>
        <w:rPr>
          <w:rFonts w:hint="eastAsia" w:ascii="宋体" w:hAnsi="宋体" w:eastAsia="宋体" w:cs="Times New Roman"/>
          <w:color w:val="auto"/>
          <w:szCs w:val="24"/>
          <w:lang w:eastAsia="zh-CN"/>
        </w:rPr>
        <w:t>，若需消毒，用药应符合</w:t>
      </w:r>
      <w:r>
        <w:rPr>
          <w:rFonts w:hint="eastAsia" w:ascii="宋体" w:hAnsi="宋体" w:eastAsia="宋体" w:cs="Times New Roman"/>
          <w:color w:val="auto"/>
          <w:szCs w:val="24"/>
          <w:lang w:val="en-US" w:eastAsia="zh-CN"/>
        </w:rPr>
        <w:t>NY/T 393的要求。</w:t>
      </w:r>
    </w:p>
    <w:p w14:paraId="7BFEBD11">
      <w:pPr>
        <w:numPr>
          <w:ilvl w:val="0"/>
          <w:numId w:val="0"/>
        </w:numPr>
        <w:spacing w:before="0" w:beforeLines="0" w:after="0" w:afterLines="0" w:line="360" w:lineRule="auto"/>
        <w:jc w:val="both"/>
        <w:outlineLvl w:val="1"/>
        <w:rPr>
          <w:rFonts w:hint="eastAsia" w:ascii="黑体" w:hAnsi="Times New Roman" w:eastAsia="黑体" w:cs="Times New Roman"/>
          <w:color w:val="auto"/>
          <w:sz w:val="21"/>
          <w:lang w:val="en-US" w:eastAsia="zh-CN" w:bidi="ar-SA"/>
        </w:rPr>
      </w:pPr>
      <w:r>
        <w:rPr>
          <w:rFonts w:hint="eastAsia" w:ascii="黑体" w:hAnsi="Times New Roman" w:eastAsia="黑体" w:cs="Times New Roman"/>
          <w:color w:val="auto"/>
          <w:sz w:val="21"/>
          <w:lang w:val="en-US" w:eastAsia="zh-CN" w:bidi="ar-SA"/>
        </w:rPr>
        <w:t>11  生产记录档案</w:t>
      </w:r>
    </w:p>
    <w:p w14:paraId="5E3C85E6">
      <w:pPr>
        <w:spacing w:line="360" w:lineRule="auto"/>
        <w:ind w:firstLine="420" w:firstLineChars="200"/>
        <w:jc w:val="left"/>
        <w:rPr>
          <w:rFonts w:ascii="宋体" w:hAnsi="宋体" w:eastAsia="宋体" w:cs="仿宋"/>
          <w:bCs/>
          <w:color w:val="auto"/>
          <w:szCs w:val="21"/>
        </w:rPr>
      </w:pPr>
      <w:r>
        <w:rPr>
          <w:rFonts w:hint="eastAsia" w:ascii="宋体" w:hAnsi="Times New Roman" w:eastAsia="宋体" w:cs="Times New Roman"/>
          <w:color w:val="auto"/>
          <w:sz w:val="21"/>
          <w:lang w:val="en-US" w:eastAsia="zh-CN" w:bidi="ar-SA"/>
        </w:rPr>
        <w:t>大豆生产过程应建立生产记录档案，包括：地块档案和整地、播种、灌溉、施肥、病虫害防治（包括农业、物理、生物防治或化学农药使用等情况）、采收、仓储等记录。生产记录档案保存期限不少于</w:t>
      </w:r>
      <w:r>
        <w:rPr>
          <w:rFonts w:ascii="宋体" w:hAnsi="Times New Roman" w:eastAsia="宋体" w:cs="Times New Roman"/>
          <w:color w:val="auto"/>
          <w:sz w:val="21"/>
          <w:lang w:val="en-US" w:eastAsia="zh-CN" w:bidi="ar-SA"/>
        </w:rPr>
        <w:t> </w:t>
      </w:r>
      <w:r>
        <w:rPr>
          <w:rFonts w:hint="eastAsia" w:ascii="宋体" w:hAnsi="Times New Roman" w:eastAsia="宋体" w:cs="Times New Roman"/>
          <w:color w:val="auto"/>
          <w:sz w:val="21"/>
          <w:lang w:val="en-US" w:eastAsia="zh-CN" w:bidi="ar-SA"/>
        </w:rPr>
        <w:t>3年。</w:t>
      </w:r>
    </w:p>
    <w:p w14:paraId="2F5C1726">
      <w:pPr>
        <w:spacing w:line="360" w:lineRule="auto"/>
        <w:ind w:firstLine="420" w:firstLineChars="200"/>
        <w:jc w:val="left"/>
        <w:rPr>
          <w:rFonts w:ascii="宋体" w:hAnsi="宋体" w:eastAsia="宋体" w:cs="仿宋"/>
          <w:bCs/>
          <w:color w:val="auto"/>
          <w:szCs w:val="21"/>
        </w:rPr>
      </w:pPr>
    </w:p>
    <w:p w14:paraId="7D3DB1EA">
      <w:pPr>
        <w:spacing w:line="360" w:lineRule="auto"/>
        <w:ind w:firstLine="420" w:firstLineChars="200"/>
        <w:jc w:val="left"/>
        <w:rPr>
          <w:rFonts w:ascii="宋体" w:hAnsi="宋体" w:eastAsia="宋体" w:cs="仿宋"/>
          <w:bCs/>
          <w:color w:val="auto"/>
          <w:szCs w:val="21"/>
        </w:rPr>
      </w:pPr>
    </w:p>
    <w:p w14:paraId="0D557ADF">
      <w:pPr>
        <w:spacing w:line="360" w:lineRule="auto"/>
        <w:ind w:firstLine="420" w:firstLineChars="200"/>
        <w:jc w:val="left"/>
        <w:rPr>
          <w:rFonts w:ascii="宋体" w:hAnsi="宋体" w:eastAsia="宋体" w:cs="仿宋"/>
          <w:bCs/>
          <w:color w:val="auto"/>
          <w:szCs w:val="21"/>
        </w:rPr>
      </w:pPr>
    </w:p>
    <w:p w14:paraId="0238838C">
      <w:pPr>
        <w:spacing w:line="360" w:lineRule="auto"/>
        <w:ind w:firstLine="420" w:firstLineChars="200"/>
        <w:jc w:val="left"/>
        <w:rPr>
          <w:rFonts w:ascii="宋体" w:hAnsi="宋体" w:eastAsia="宋体" w:cs="仿宋"/>
          <w:bCs/>
          <w:color w:val="auto"/>
          <w:szCs w:val="21"/>
        </w:rPr>
      </w:pPr>
    </w:p>
    <w:p w14:paraId="44610D2D">
      <w:pPr>
        <w:spacing w:line="360" w:lineRule="auto"/>
        <w:ind w:firstLine="420" w:firstLineChars="200"/>
        <w:jc w:val="left"/>
        <w:rPr>
          <w:rFonts w:ascii="宋体" w:hAnsi="宋体" w:eastAsia="宋体" w:cs="仿宋"/>
          <w:bCs/>
          <w:color w:val="auto"/>
          <w:szCs w:val="21"/>
        </w:rPr>
      </w:pPr>
    </w:p>
    <w:p w14:paraId="70A741A1">
      <w:pPr>
        <w:spacing w:line="360" w:lineRule="auto"/>
        <w:ind w:firstLine="420" w:firstLineChars="200"/>
        <w:jc w:val="left"/>
        <w:rPr>
          <w:rFonts w:ascii="宋体" w:hAnsi="宋体" w:eastAsia="宋体" w:cs="仿宋"/>
          <w:bCs/>
          <w:color w:val="auto"/>
          <w:szCs w:val="21"/>
        </w:rPr>
      </w:pPr>
    </w:p>
    <w:p w14:paraId="605DDD12">
      <w:pPr>
        <w:spacing w:line="360" w:lineRule="auto"/>
        <w:ind w:firstLine="420" w:firstLineChars="200"/>
        <w:jc w:val="left"/>
        <w:rPr>
          <w:rFonts w:ascii="宋体" w:hAnsi="宋体" w:eastAsia="宋体" w:cs="仿宋"/>
          <w:bCs/>
          <w:color w:val="auto"/>
          <w:szCs w:val="21"/>
        </w:rPr>
      </w:pPr>
    </w:p>
    <w:p w14:paraId="482F8B4A">
      <w:pPr>
        <w:spacing w:line="360" w:lineRule="auto"/>
        <w:ind w:firstLine="420" w:firstLineChars="200"/>
        <w:jc w:val="left"/>
        <w:rPr>
          <w:rFonts w:ascii="宋体" w:hAnsi="宋体" w:eastAsia="宋体" w:cs="仿宋"/>
          <w:bCs/>
          <w:color w:val="auto"/>
          <w:szCs w:val="21"/>
        </w:rPr>
      </w:pPr>
    </w:p>
    <w:p w14:paraId="43C679B7">
      <w:pPr>
        <w:spacing w:line="360" w:lineRule="auto"/>
        <w:ind w:firstLine="420" w:firstLineChars="200"/>
        <w:jc w:val="left"/>
        <w:rPr>
          <w:rFonts w:ascii="宋体" w:hAnsi="宋体" w:eastAsia="宋体" w:cs="仿宋"/>
          <w:bCs/>
          <w:color w:val="auto"/>
          <w:szCs w:val="21"/>
        </w:rPr>
      </w:pPr>
    </w:p>
    <w:p w14:paraId="67E5FF07">
      <w:pPr>
        <w:spacing w:line="360" w:lineRule="auto"/>
        <w:ind w:firstLine="420" w:firstLineChars="200"/>
        <w:jc w:val="left"/>
        <w:rPr>
          <w:rFonts w:ascii="宋体" w:hAnsi="宋体" w:eastAsia="宋体" w:cs="仿宋"/>
          <w:bCs/>
          <w:color w:val="auto"/>
          <w:szCs w:val="21"/>
        </w:rPr>
      </w:pPr>
    </w:p>
    <w:p w14:paraId="5C81D032">
      <w:pPr>
        <w:spacing w:line="360" w:lineRule="auto"/>
        <w:ind w:firstLine="420" w:firstLineChars="200"/>
        <w:jc w:val="left"/>
        <w:rPr>
          <w:rFonts w:ascii="宋体" w:hAnsi="宋体" w:eastAsia="宋体" w:cs="仿宋"/>
          <w:bCs/>
          <w:color w:val="auto"/>
          <w:szCs w:val="21"/>
        </w:rPr>
      </w:pPr>
    </w:p>
    <w:p w14:paraId="105C831F">
      <w:pPr>
        <w:spacing w:line="360" w:lineRule="auto"/>
        <w:ind w:firstLine="420" w:firstLineChars="200"/>
        <w:jc w:val="left"/>
        <w:rPr>
          <w:rFonts w:ascii="宋体" w:hAnsi="宋体" w:eastAsia="宋体" w:cs="仿宋"/>
          <w:bCs/>
          <w:color w:val="auto"/>
          <w:szCs w:val="21"/>
        </w:rPr>
      </w:pPr>
    </w:p>
    <w:p w14:paraId="3E444D58">
      <w:pPr>
        <w:ind w:firstLine="420" w:firstLineChars="200"/>
        <w:jc w:val="left"/>
        <w:rPr>
          <w:rFonts w:ascii="宋体" w:hAnsi="宋体" w:eastAsia="宋体" w:cs="仿宋"/>
          <w:bCs/>
          <w:color w:val="auto"/>
          <w:szCs w:val="21"/>
        </w:rPr>
      </w:pPr>
    </w:p>
    <w:p w14:paraId="7EF3E251">
      <w:pPr>
        <w:ind w:firstLine="420" w:firstLineChars="200"/>
        <w:jc w:val="left"/>
        <w:rPr>
          <w:rFonts w:ascii="宋体" w:hAnsi="宋体" w:eastAsia="宋体" w:cs="仿宋"/>
          <w:bCs/>
          <w:color w:val="auto"/>
          <w:szCs w:val="21"/>
        </w:rPr>
      </w:pPr>
    </w:p>
    <w:p w14:paraId="0D8803AA">
      <w:pPr>
        <w:ind w:firstLine="420" w:firstLineChars="200"/>
        <w:jc w:val="left"/>
        <w:rPr>
          <w:rFonts w:ascii="宋体" w:hAnsi="宋体" w:eastAsia="宋体" w:cs="仿宋"/>
          <w:bCs/>
          <w:color w:val="auto"/>
          <w:szCs w:val="21"/>
        </w:rPr>
      </w:pPr>
    </w:p>
    <w:p w14:paraId="5B12C0CA">
      <w:pPr>
        <w:ind w:firstLine="420" w:firstLineChars="200"/>
        <w:jc w:val="left"/>
        <w:rPr>
          <w:rFonts w:ascii="宋体" w:hAnsi="宋体" w:eastAsia="宋体" w:cs="仿宋"/>
          <w:bCs/>
          <w:color w:val="auto"/>
          <w:szCs w:val="21"/>
        </w:rPr>
      </w:pPr>
    </w:p>
    <w:p w14:paraId="1D375761">
      <w:pPr>
        <w:pStyle w:val="2"/>
        <w:jc w:val="center"/>
        <w:rPr>
          <w:rFonts w:hint="eastAsia"/>
          <w:color w:val="auto"/>
          <w:lang w:val="en-US" w:eastAsia="zh-CN"/>
        </w:rPr>
      </w:pPr>
      <w:r>
        <w:rPr>
          <w:rFonts w:hint="eastAsia"/>
          <w:color w:val="auto"/>
        </w:rPr>
        <w:t>附录</w:t>
      </w:r>
      <w:r>
        <w:rPr>
          <w:rFonts w:hint="eastAsia"/>
          <w:color w:val="auto"/>
          <w:lang w:val="en-US" w:eastAsia="zh-CN"/>
        </w:rPr>
        <w:t>A</w:t>
      </w:r>
    </w:p>
    <w:p w14:paraId="12A520FD">
      <w:pPr>
        <w:jc w:val="center"/>
        <w:rPr>
          <w:rFonts w:hint="eastAsia"/>
          <w:color w:val="auto"/>
          <w:lang w:eastAsia="zh-CN"/>
        </w:rPr>
      </w:pPr>
      <w:r>
        <w:rPr>
          <w:rFonts w:hint="eastAsia"/>
          <w:color w:val="auto"/>
          <w:lang w:val="en-US" w:eastAsia="zh-CN"/>
        </w:rPr>
        <w:t>（资料性附录）</w:t>
      </w:r>
    </w:p>
    <w:p w14:paraId="4A1A27E9">
      <w:pPr>
        <w:spacing w:line="360" w:lineRule="auto"/>
        <w:ind w:firstLine="42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大豆主要病虫害防治推荐农药使用方案见表</w:t>
      </w:r>
      <w:r>
        <w:rPr>
          <w:rFonts w:hint="eastAsia" w:ascii="宋体" w:hAnsi="宋体" w:eastAsia="宋体" w:cs="Times New Roman"/>
          <w:color w:val="auto"/>
          <w:szCs w:val="24"/>
          <w:lang w:val="en-US" w:eastAsia="zh-CN"/>
        </w:rPr>
        <w:t>1</w:t>
      </w:r>
      <w:r>
        <w:rPr>
          <w:rFonts w:hint="eastAsia" w:ascii="宋体" w:hAnsi="宋体" w:eastAsia="宋体" w:cs="Times New Roman"/>
          <w:color w:val="auto"/>
          <w:szCs w:val="24"/>
          <w:lang w:eastAsia="zh-CN"/>
        </w:rPr>
        <w:t>。</w:t>
      </w:r>
    </w:p>
    <w:p w14:paraId="76983707">
      <w:pPr>
        <w:spacing w:line="360" w:lineRule="auto"/>
        <w:jc w:val="center"/>
        <w:rPr>
          <w:rFonts w:ascii="黑体" w:hAnsi="黑体" w:eastAsia="黑体"/>
          <w:color w:val="auto"/>
          <w:sz w:val="28"/>
          <w:szCs w:val="28"/>
        </w:rPr>
      </w:pPr>
      <w:r>
        <w:rPr>
          <w:rFonts w:hint="eastAsia" w:ascii="黑体" w:hAnsi="黑体" w:eastAsia="黑体"/>
          <w:color w:val="auto"/>
          <w:sz w:val="28"/>
          <w:szCs w:val="28"/>
        </w:rPr>
        <w:t>表</w:t>
      </w:r>
      <w:r>
        <w:rPr>
          <w:rFonts w:hint="eastAsia" w:ascii="黑体" w:hAnsi="黑体" w:eastAsia="黑体"/>
          <w:color w:val="auto"/>
          <w:sz w:val="28"/>
          <w:szCs w:val="28"/>
          <w:lang w:val="en-US" w:eastAsia="zh-CN"/>
        </w:rPr>
        <w:t>1</w:t>
      </w:r>
      <w:r>
        <w:rPr>
          <w:rFonts w:ascii="黑体" w:hAnsi="黑体" w:eastAsia="黑体"/>
          <w:color w:val="auto"/>
          <w:sz w:val="28"/>
          <w:szCs w:val="28"/>
        </w:rPr>
        <w:t xml:space="preserve"> </w:t>
      </w:r>
      <w:r>
        <w:rPr>
          <w:rFonts w:hint="eastAsia" w:ascii="黑体" w:hAnsi="黑体" w:eastAsia="黑体"/>
          <w:color w:val="auto"/>
          <w:sz w:val="28"/>
          <w:szCs w:val="28"/>
        </w:rPr>
        <w:t>大豆主要</w:t>
      </w:r>
      <w:r>
        <w:rPr>
          <w:rFonts w:ascii="黑体" w:hAnsi="黑体" w:eastAsia="黑体"/>
          <w:color w:val="auto"/>
          <w:sz w:val="28"/>
          <w:szCs w:val="28"/>
        </w:rPr>
        <w:t>病</w:t>
      </w:r>
      <w:r>
        <w:rPr>
          <w:rFonts w:hint="eastAsia" w:ascii="黑体" w:hAnsi="黑体" w:eastAsia="黑体"/>
          <w:color w:val="auto"/>
          <w:sz w:val="28"/>
          <w:szCs w:val="28"/>
        </w:rPr>
        <w:t>虫</w:t>
      </w:r>
      <w:r>
        <w:rPr>
          <w:rFonts w:ascii="黑体" w:hAnsi="黑体" w:eastAsia="黑体"/>
          <w:color w:val="auto"/>
          <w:sz w:val="28"/>
          <w:szCs w:val="28"/>
        </w:rPr>
        <w:t>害</w:t>
      </w:r>
      <w:r>
        <w:rPr>
          <w:rFonts w:hint="eastAsia" w:ascii="黑体" w:hAnsi="黑体" w:eastAsia="黑体"/>
          <w:color w:val="auto"/>
          <w:sz w:val="28"/>
          <w:szCs w:val="28"/>
        </w:rPr>
        <w:t>防治推荐农药使用方案</w:t>
      </w:r>
    </w:p>
    <w:tbl>
      <w:tblPr>
        <w:tblStyle w:val="9"/>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206"/>
        <w:gridCol w:w="1276"/>
        <w:gridCol w:w="2383"/>
        <w:gridCol w:w="2153"/>
        <w:gridCol w:w="1276"/>
        <w:gridCol w:w="1134"/>
      </w:tblGrid>
      <w:tr w14:paraId="0129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tblHeader/>
          <w:jc w:val="center"/>
        </w:trPr>
        <w:tc>
          <w:tcPr>
            <w:tcW w:w="1206" w:type="dxa"/>
            <w:tcMar>
              <w:left w:w="108" w:type="dxa"/>
              <w:right w:w="108" w:type="dxa"/>
            </w:tcMar>
            <w:vAlign w:val="center"/>
          </w:tcPr>
          <w:p w14:paraId="7A5997FB">
            <w:pPr>
              <w:snapToGrid w:val="0"/>
              <w:jc w:val="center"/>
              <w:rPr>
                <w:rFonts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防治对象</w:t>
            </w:r>
          </w:p>
        </w:tc>
        <w:tc>
          <w:tcPr>
            <w:tcW w:w="1276" w:type="dxa"/>
            <w:tcMar>
              <w:left w:w="108" w:type="dxa"/>
              <w:right w:w="108" w:type="dxa"/>
            </w:tcMar>
            <w:vAlign w:val="center"/>
          </w:tcPr>
          <w:p w14:paraId="519E680E">
            <w:pPr>
              <w:snapToGrid w:val="0"/>
              <w:jc w:val="center"/>
              <w:rPr>
                <w:rFonts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防治时期</w:t>
            </w:r>
          </w:p>
        </w:tc>
        <w:tc>
          <w:tcPr>
            <w:tcW w:w="2383" w:type="dxa"/>
            <w:tcMar>
              <w:left w:w="108" w:type="dxa"/>
              <w:right w:w="108" w:type="dxa"/>
            </w:tcMar>
            <w:vAlign w:val="center"/>
          </w:tcPr>
          <w:p w14:paraId="33497305">
            <w:pPr>
              <w:snapToGrid w:val="0"/>
              <w:jc w:val="center"/>
              <w:rPr>
                <w:rFonts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农药名称</w:t>
            </w:r>
          </w:p>
        </w:tc>
        <w:tc>
          <w:tcPr>
            <w:tcW w:w="2153" w:type="dxa"/>
            <w:tcMar>
              <w:left w:w="108" w:type="dxa"/>
              <w:right w:w="108" w:type="dxa"/>
            </w:tcMar>
            <w:vAlign w:val="center"/>
          </w:tcPr>
          <w:p w14:paraId="067C4E43">
            <w:pPr>
              <w:snapToGrid w:val="0"/>
              <w:jc w:val="center"/>
              <w:rPr>
                <w:rFonts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使用剂量</w:t>
            </w:r>
          </w:p>
        </w:tc>
        <w:tc>
          <w:tcPr>
            <w:tcW w:w="1276" w:type="dxa"/>
            <w:tcMar>
              <w:left w:w="108" w:type="dxa"/>
              <w:right w:w="108" w:type="dxa"/>
            </w:tcMar>
            <w:vAlign w:val="center"/>
          </w:tcPr>
          <w:p w14:paraId="5517B817">
            <w:pPr>
              <w:snapToGrid w:val="0"/>
              <w:jc w:val="center"/>
              <w:rPr>
                <w:rFonts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施药方法</w:t>
            </w:r>
          </w:p>
        </w:tc>
        <w:tc>
          <w:tcPr>
            <w:tcW w:w="1134" w:type="dxa"/>
            <w:tcMar>
              <w:left w:w="108" w:type="dxa"/>
              <w:right w:w="108" w:type="dxa"/>
            </w:tcMar>
            <w:vAlign w:val="center"/>
          </w:tcPr>
          <w:p w14:paraId="4A8CA836">
            <w:pPr>
              <w:snapToGrid w:val="0"/>
              <w:jc w:val="center"/>
              <w:rPr>
                <w:rFonts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安全间隔期(天)</w:t>
            </w:r>
          </w:p>
        </w:tc>
      </w:tr>
      <w:tr w14:paraId="3DB1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4572501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根腐病</w:t>
            </w:r>
          </w:p>
        </w:tc>
        <w:tc>
          <w:tcPr>
            <w:tcW w:w="1276" w:type="dxa"/>
            <w:tcMar>
              <w:left w:w="108" w:type="dxa"/>
              <w:right w:w="108" w:type="dxa"/>
            </w:tcMar>
            <w:vAlign w:val="center"/>
          </w:tcPr>
          <w:p w14:paraId="2EB3175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拌种</w:t>
            </w:r>
          </w:p>
        </w:tc>
        <w:tc>
          <w:tcPr>
            <w:tcW w:w="2383" w:type="dxa"/>
            <w:tcMar>
              <w:left w:w="108" w:type="dxa"/>
              <w:right w:w="108" w:type="dxa"/>
            </w:tcMar>
            <w:vAlign w:val="center"/>
          </w:tcPr>
          <w:p w14:paraId="693A7236">
            <w:pPr>
              <w:snapToGrid w:val="0"/>
              <w:jc w:val="left"/>
              <w:rPr>
                <w:rFonts w:ascii="Times New Roman" w:hAnsi="Times New Roman" w:eastAsia="仿宋" w:cs="Times New Roman"/>
                <w:color w:val="auto"/>
                <w:sz w:val="24"/>
                <w:szCs w:val="24"/>
              </w:rPr>
            </w:pPr>
            <w:bookmarkStart w:id="0" w:name="OLE_LINK172"/>
            <w:bookmarkStart w:id="1" w:name="OLE_LINK171"/>
            <w:r>
              <w:rPr>
                <w:rFonts w:ascii="Times New Roman" w:hAnsi="Times New Roman" w:eastAsia="仿宋" w:cs="Times New Roman"/>
                <w:color w:val="auto"/>
                <w:sz w:val="24"/>
                <w:szCs w:val="24"/>
              </w:rPr>
              <w:t>200亿CFU/克</w:t>
            </w:r>
            <w:r>
              <w:rPr>
                <w:rFonts w:hint="eastAsia" w:ascii="Times New Roman" w:hAnsi="Times New Roman" w:eastAsia="仿宋" w:cs="Times New Roman"/>
                <w:color w:val="auto"/>
                <w:sz w:val="24"/>
                <w:szCs w:val="24"/>
              </w:rPr>
              <w:t>多粘类芽孢杆菌</w:t>
            </w:r>
            <w:bookmarkEnd w:id="0"/>
            <w:bookmarkEnd w:id="1"/>
            <w:r>
              <w:rPr>
                <w:rFonts w:ascii="Times New Roman" w:hAnsi="Times New Roman" w:eastAsia="仿宋" w:cs="Times New Roman"/>
                <w:color w:val="auto"/>
                <w:sz w:val="24"/>
                <w:szCs w:val="24"/>
              </w:rPr>
              <w:t>KN-03</w:t>
            </w:r>
            <w:r>
              <w:rPr>
                <w:rFonts w:hint="eastAsia" w:ascii="Times New Roman" w:hAnsi="Times New Roman" w:eastAsia="仿宋" w:cs="Times New Roman"/>
                <w:color w:val="auto"/>
                <w:sz w:val="24"/>
                <w:szCs w:val="24"/>
              </w:rPr>
              <w:t>种子处理可分散粉剂</w:t>
            </w:r>
          </w:p>
        </w:tc>
        <w:tc>
          <w:tcPr>
            <w:tcW w:w="2153" w:type="dxa"/>
            <w:tcMar>
              <w:left w:w="108" w:type="dxa"/>
              <w:right w:w="108" w:type="dxa"/>
            </w:tcMar>
            <w:vAlign w:val="center"/>
          </w:tcPr>
          <w:p w14:paraId="103F79B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75-100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/100</w:t>
            </w:r>
            <w:r>
              <w:rPr>
                <w:rFonts w:hint="eastAsia" w:ascii="Times New Roman" w:hAnsi="Times New Roman" w:eastAsia="仿宋" w:cs="Times New Roman"/>
                <w:color w:val="auto"/>
                <w:sz w:val="24"/>
                <w:szCs w:val="24"/>
              </w:rPr>
              <w:t>千克种子</w:t>
            </w:r>
          </w:p>
        </w:tc>
        <w:tc>
          <w:tcPr>
            <w:tcW w:w="1276" w:type="dxa"/>
            <w:tcMar>
              <w:left w:w="108" w:type="dxa"/>
              <w:right w:w="108" w:type="dxa"/>
            </w:tcMar>
            <w:vAlign w:val="center"/>
          </w:tcPr>
          <w:p w14:paraId="1B1C0F05">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拌种</w:t>
            </w:r>
          </w:p>
        </w:tc>
        <w:tc>
          <w:tcPr>
            <w:tcW w:w="1134" w:type="dxa"/>
            <w:tcMar>
              <w:left w:w="108" w:type="dxa"/>
              <w:right w:w="108" w:type="dxa"/>
            </w:tcMar>
            <w:vAlign w:val="center"/>
          </w:tcPr>
          <w:p w14:paraId="03B047F8">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w:t>
            </w:r>
          </w:p>
        </w:tc>
      </w:tr>
      <w:tr w14:paraId="72D6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1412422A">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1EFEECC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466E92C6">
            <w:pPr>
              <w:snapToGrid w:val="0"/>
              <w:jc w:val="left"/>
              <w:rPr>
                <w:rFonts w:ascii="Times New Roman" w:hAnsi="Times New Roman" w:eastAsia="仿宋" w:cs="Times New Roman"/>
                <w:color w:val="auto"/>
                <w:sz w:val="24"/>
                <w:szCs w:val="24"/>
              </w:rPr>
            </w:pPr>
            <w:bookmarkStart w:id="2" w:name="OLE_LINK173"/>
            <w:r>
              <w:rPr>
                <w:rFonts w:ascii="Times New Roman" w:hAnsi="Times New Roman" w:eastAsia="仿宋" w:cs="Times New Roman"/>
                <w:color w:val="auto"/>
                <w:sz w:val="24"/>
                <w:szCs w:val="24"/>
              </w:rPr>
              <w:t>1亿孢子/克</w:t>
            </w:r>
            <w:r>
              <w:rPr>
                <w:rFonts w:hint="eastAsia" w:ascii="Times New Roman" w:hAnsi="Times New Roman" w:eastAsia="仿宋" w:cs="Times New Roman"/>
                <w:color w:val="auto"/>
                <w:sz w:val="24"/>
                <w:szCs w:val="24"/>
              </w:rPr>
              <w:t>木霉菌</w:t>
            </w:r>
            <w:bookmarkEnd w:id="2"/>
            <w:r>
              <w:rPr>
                <w:rFonts w:hint="eastAsia" w:ascii="Times New Roman" w:hAnsi="Times New Roman" w:eastAsia="仿宋" w:cs="Times New Roman"/>
                <w:color w:val="auto"/>
                <w:sz w:val="24"/>
                <w:szCs w:val="24"/>
              </w:rPr>
              <w:t>颗粒剂</w:t>
            </w:r>
          </w:p>
        </w:tc>
        <w:tc>
          <w:tcPr>
            <w:tcW w:w="2153" w:type="dxa"/>
            <w:tcMar>
              <w:left w:w="108" w:type="dxa"/>
              <w:right w:w="108" w:type="dxa"/>
            </w:tcMar>
            <w:vAlign w:val="center"/>
          </w:tcPr>
          <w:p w14:paraId="500B8E3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3000-4000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亩</w:t>
            </w:r>
          </w:p>
        </w:tc>
        <w:tc>
          <w:tcPr>
            <w:tcW w:w="1276" w:type="dxa"/>
            <w:tcMar>
              <w:left w:w="108" w:type="dxa"/>
              <w:right w:w="108" w:type="dxa"/>
            </w:tcMar>
            <w:vAlign w:val="center"/>
          </w:tcPr>
          <w:p w14:paraId="0F40C0E8">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沟施</w:t>
            </w:r>
          </w:p>
        </w:tc>
        <w:tc>
          <w:tcPr>
            <w:tcW w:w="1134" w:type="dxa"/>
            <w:tcMar>
              <w:left w:w="108" w:type="dxa"/>
              <w:right w:w="108" w:type="dxa"/>
            </w:tcMar>
            <w:vAlign w:val="center"/>
          </w:tcPr>
          <w:p w14:paraId="6A411EFC">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w:t>
            </w:r>
          </w:p>
        </w:tc>
      </w:tr>
      <w:tr w14:paraId="0801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19C9BF84">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C9978E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0EBB25DB">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11%</w:t>
            </w:r>
            <w:r>
              <w:rPr>
                <w:rFonts w:hint="eastAsia" w:ascii="Times New Roman" w:hAnsi="Times New Roman" w:eastAsia="仿宋" w:cs="Times New Roman"/>
                <w:color w:val="auto"/>
                <w:sz w:val="24"/>
                <w:szCs w:val="24"/>
              </w:rPr>
              <w:t>精甲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嘧菌悬浮种衣剂</w:t>
            </w:r>
          </w:p>
        </w:tc>
        <w:tc>
          <w:tcPr>
            <w:tcW w:w="2153" w:type="dxa"/>
            <w:tcMar>
              <w:left w:w="108" w:type="dxa"/>
              <w:right w:w="108" w:type="dxa"/>
            </w:tcMar>
            <w:vAlign w:val="center"/>
          </w:tcPr>
          <w:p w14:paraId="36DE2CD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330-500毫升/100千克种子</w:t>
            </w:r>
          </w:p>
        </w:tc>
        <w:tc>
          <w:tcPr>
            <w:tcW w:w="1276" w:type="dxa"/>
            <w:tcMar>
              <w:left w:w="108" w:type="dxa"/>
              <w:right w:w="108" w:type="dxa"/>
            </w:tcMar>
            <w:vAlign w:val="center"/>
          </w:tcPr>
          <w:p w14:paraId="42E7132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种子包衣</w:t>
            </w:r>
          </w:p>
        </w:tc>
        <w:tc>
          <w:tcPr>
            <w:tcW w:w="1134" w:type="dxa"/>
            <w:tcMar>
              <w:left w:w="108" w:type="dxa"/>
              <w:right w:w="108" w:type="dxa"/>
            </w:tcMar>
            <w:vAlign w:val="center"/>
          </w:tcPr>
          <w:p w14:paraId="2007425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14F5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5FC6C407">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1E29276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5FF5B055">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2.5%</w:t>
            </w:r>
            <w:r>
              <w:rPr>
                <w:rFonts w:hint="eastAsia" w:ascii="Times New Roman" w:hAnsi="Times New Roman" w:eastAsia="仿宋" w:cs="Times New Roman"/>
                <w:color w:val="auto"/>
                <w:sz w:val="24"/>
                <w:szCs w:val="24"/>
              </w:rPr>
              <w:t>咯菌腈悬浮种衣剂</w:t>
            </w:r>
          </w:p>
        </w:tc>
        <w:tc>
          <w:tcPr>
            <w:tcW w:w="2153" w:type="dxa"/>
            <w:tcMar>
              <w:left w:w="108" w:type="dxa"/>
              <w:right w:w="108" w:type="dxa"/>
            </w:tcMar>
            <w:vAlign w:val="center"/>
          </w:tcPr>
          <w:p w14:paraId="4685916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600-800毫升/100千克种子</w:t>
            </w:r>
          </w:p>
        </w:tc>
        <w:tc>
          <w:tcPr>
            <w:tcW w:w="1276" w:type="dxa"/>
            <w:tcMar>
              <w:left w:w="108" w:type="dxa"/>
              <w:right w:w="108" w:type="dxa"/>
            </w:tcMar>
            <w:vAlign w:val="center"/>
          </w:tcPr>
          <w:p w14:paraId="28AA5F4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种子包衣</w:t>
            </w:r>
          </w:p>
        </w:tc>
        <w:tc>
          <w:tcPr>
            <w:tcW w:w="1134" w:type="dxa"/>
            <w:tcMar>
              <w:left w:w="108" w:type="dxa"/>
              <w:right w:w="108" w:type="dxa"/>
            </w:tcMar>
            <w:vAlign w:val="center"/>
          </w:tcPr>
          <w:p w14:paraId="345FC64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0274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78314AC6">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F790E8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0EC32AA0">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0.2%</w:t>
            </w:r>
            <w:r>
              <w:rPr>
                <w:rFonts w:hint="eastAsia" w:ascii="Times New Roman" w:hAnsi="Times New Roman" w:eastAsia="仿宋" w:cs="Times New Roman"/>
                <w:color w:val="auto"/>
                <w:sz w:val="24"/>
                <w:szCs w:val="24"/>
              </w:rPr>
              <w:t>宁南霉素颗粒剂</w:t>
            </w:r>
          </w:p>
        </w:tc>
        <w:tc>
          <w:tcPr>
            <w:tcW w:w="2153" w:type="dxa"/>
            <w:tcMar>
              <w:left w:w="108" w:type="dxa"/>
              <w:right w:w="108" w:type="dxa"/>
            </w:tcMar>
            <w:vAlign w:val="center"/>
          </w:tcPr>
          <w:p w14:paraId="16F1FC4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3.5-4千克/亩</w:t>
            </w:r>
          </w:p>
        </w:tc>
        <w:tc>
          <w:tcPr>
            <w:tcW w:w="1276" w:type="dxa"/>
            <w:tcMar>
              <w:left w:w="108" w:type="dxa"/>
              <w:right w:w="108" w:type="dxa"/>
            </w:tcMar>
            <w:vAlign w:val="center"/>
          </w:tcPr>
          <w:p w14:paraId="004FF57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沟施</w:t>
            </w:r>
          </w:p>
        </w:tc>
        <w:tc>
          <w:tcPr>
            <w:tcW w:w="1134" w:type="dxa"/>
            <w:tcMar>
              <w:left w:w="108" w:type="dxa"/>
              <w:right w:w="108" w:type="dxa"/>
            </w:tcMar>
            <w:vAlign w:val="center"/>
          </w:tcPr>
          <w:p w14:paraId="5E7DEED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5B73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5329C20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疫霉根腐病</w:t>
            </w:r>
          </w:p>
        </w:tc>
        <w:tc>
          <w:tcPr>
            <w:tcW w:w="1276" w:type="dxa"/>
            <w:tcMar>
              <w:left w:w="108" w:type="dxa"/>
              <w:right w:w="108" w:type="dxa"/>
            </w:tcMar>
            <w:vAlign w:val="center"/>
          </w:tcPr>
          <w:p w14:paraId="0BD0B08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736BAEB0">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11%</w:t>
            </w:r>
            <w:r>
              <w:rPr>
                <w:rFonts w:hint="eastAsia" w:ascii="Times New Roman" w:hAnsi="Times New Roman" w:eastAsia="仿宋" w:cs="Times New Roman"/>
                <w:color w:val="auto"/>
                <w:sz w:val="24"/>
                <w:szCs w:val="24"/>
              </w:rPr>
              <w:t>精甲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嘧菌悬浮种衣剂</w:t>
            </w:r>
          </w:p>
        </w:tc>
        <w:tc>
          <w:tcPr>
            <w:tcW w:w="2153" w:type="dxa"/>
            <w:tcMar>
              <w:left w:w="108" w:type="dxa"/>
              <w:right w:w="108" w:type="dxa"/>
            </w:tcMar>
            <w:vAlign w:val="center"/>
          </w:tcPr>
          <w:p w14:paraId="0AC307E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330-500毫升/100千克种子</w:t>
            </w:r>
          </w:p>
        </w:tc>
        <w:tc>
          <w:tcPr>
            <w:tcW w:w="1276" w:type="dxa"/>
            <w:tcMar>
              <w:left w:w="108" w:type="dxa"/>
              <w:right w:w="108" w:type="dxa"/>
            </w:tcMar>
            <w:vAlign w:val="center"/>
          </w:tcPr>
          <w:p w14:paraId="56219B2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种子包衣</w:t>
            </w:r>
          </w:p>
        </w:tc>
        <w:tc>
          <w:tcPr>
            <w:tcW w:w="1134" w:type="dxa"/>
            <w:tcMar>
              <w:left w:w="108" w:type="dxa"/>
              <w:right w:w="108" w:type="dxa"/>
            </w:tcMar>
            <w:vAlign w:val="center"/>
          </w:tcPr>
          <w:p w14:paraId="0EEA2F9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4B3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1CF15720">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CB3A61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135CA4A8">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升精甲霜灵种子处理乳剂</w:t>
            </w:r>
          </w:p>
        </w:tc>
        <w:tc>
          <w:tcPr>
            <w:tcW w:w="2153" w:type="dxa"/>
            <w:tcMar>
              <w:left w:w="108" w:type="dxa"/>
              <w:right w:w="108" w:type="dxa"/>
            </w:tcMar>
            <w:vAlign w:val="center"/>
          </w:tcPr>
          <w:p w14:paraId="6C11647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40-80毫升/100千克种子</w:t>
            </w:r>
          </w:p>
        </w:tc>
        <w:tc>
          <w:tcPr>
            <w:tcW w:w="1276" w:type="dxa"/>
            <w:tcMar>
              <w:left w:w="108" w:type="dxa"/>
              <w:right w:w="108" w:type="dxa"/>
            </w:tcMar>
            <w:vAlign w:val="center"/>
          </w:tcPr>
          <w:p w14:paraId="05C092C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拌种</w:t>
            </w:r>
          </w:p>
        </w:tc>
        <w:tc>
          <w:tcPr>
            <w:tcW w:w="1134" w:type="dxa"/>
            <w:tcMar>
              <w:left w:w="108" w:type="dxa"/>
              <w:right w:w="108" w:type="dxa"/>
            </w:tcMar>
            <w:vAlign w:val="center"/>
          </w:tcPr>
          <w:p w14:paraId="2B99EA3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4230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14CB69E7">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CB2B04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3DAA4466">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62.5</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升精甲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咯菌腈悬浮种衣剂</w:t>
            </w:r>
          </w:p>
        </w:tc>
        <w:tc>
          <w:tcPr>
            <w:tcW w:w="2153" w:type="dxa"/>
            <w:tcMar>
              <w:left w:w="108" w:type="dxa"/>
              <w:right w:w="108" w:type="dxa"/>
            </w:tcMar>
            <w:vAlign w:val="center"/>
          </w:tcPr>
          <w:p w14:paraId="4BA8DB9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300-400毫升/100千克种子</w:t>
            </w:r>
          </w:p>
        </w:tc>
        <w:tc>
          <w:tcPr>
            <w:tcW w:w="1276" w:type="dxa"/>
            <w:tcMar>
              <w:left w:w="108" w:type="dxa"/>
              <w:right w:w="108" w:type="dxa"/>
            </w:tcMar>
            <w:vAlign w:val="center"/>
          </w:tcPr>
          <w:p w14:paraId="58000E3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种子包衣</w:t>
            </w:r>
          </w:p>
        </w:tc>
        <w:tc>
          <w:tcPr>
            <w:tcW w:w="1134" w:type="dxa"/>
            <w:tcMar>
              <w:left w:w="108" w:type="dxa"/>
              <w:right w:w="108" w:type="dxa"/>
            </w:tcMar>
            <w:vAlign w:val="center"/>
          </w:tcPr>
          <w:p w14:paraId="01FCEE0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1985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0624AE3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灰斑病</w:t>
            </w:r>
          </w:p>
        </w:tc>
        <w:tc>
          <w:tcPr>
            <w:tcW w:w="1276" w:type="dxa"/>
            <w:tcMar>
              <w:left w:w="108" w:type="dxa"/>
              <w:right w:w="108" w:type="dxa"/>
            </w:tcMar>
            <w:vAlign w:val="center"/>
          </w:tcPr>
          <w:p w14:paraId="671813F9">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2BB0D937">
            <w:pPr>
              <w:snapToGrid w:val="0"/>
              <w:jc w:val="left"/>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250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升吡唑醚菌酯乳油</w:t>
            </w:r>
          </w:p>
        </w:tc>
        <w:tc>
          <w:tcPr>
            <w:tcW w:w="2153" w:type="dxa"/>
            <w:tcMar>
              <w:left w:w="108" w:type="dxa"/>
              <w:right w:w="108" w:type="dxa"/>
            </w:tcMar>
            <w:vAlign w:val="center"/>
          </w:tcPr>
          <w:p w14:paraId="6C659B42">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30-40毫升/亩</w:t>
            </w:r>
          </w:p>
        </w:tc>
        <w:tc>
          <w:tcPr>
            <w:tcW w:w="1276" w:type="dxa"/>
            <w:tcMar>
              <w:left w:w="108" w:type="dxa"/>
              <w:right w:w="108" w:type="dxa"/>
            </w:tcMar>
            <w:vAlign w:val="center"/>
          </w:tcPr>
          <w:p w14:paraId="29276D70">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4E48E345">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21</w:t>
            </w:r>
          </w:p>
        </w:tc>
      </w:tr>
      <w:tr w14:paraId="2278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trHeight w:val="536" w:hRule="atLeast"/>
          <w:jc w:val="center"/>
        </w:trPr>
        <w:tc>
          <w:tcPr>
            <w:tcW w:w="1206" w:type="dxa"/>
            <w:vMerge w:val="continue"/>
            <w:tcMar>
              <w:left w:w="108" w:type="dxa"/>
              <w:right w:w="108" w:type="dxa"/>
            </w:tcMar>
            <w:vAlign w:val="center"/>
          </w:tcPr>
          <w:p w14:paraId="6C3FD24F">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AB8F5F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4FB62068">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17%</w:t>
            </w:r>
            <w:r>
              <w:rPr>
                <w:rFonts w:hint="eastAsia" w:ascii="Times New Roman" w:hAnsi="Times New Roman" w:eastAsia="仿宋" w:cs="Times New Roman"/>
                <w:color w:val="auto"/>
                <w:sz w:val="24"/>
                <w:szCs w:val="24"/>
              </w:rPr>
              <w:t>唑醚</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氟环唑悬浮剂</w:t>
            </w:r>
          </w:p>
        </w:tc>
        <w:tc>
          <w:tcPr>
            <w:tcW w:w="2153" w:type="dxa"/>
            <w:tcMar>
              <w:left w:w="108" w:type="dxa"/>
              <w:right w:w="108" w:type="dxa"/>
            </w:tcMar>
            <w:vAlign w:val="center"/>
          </w:tcPr>
          <w:p w14:paraId="6654936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50-60毫升/亩</w:t>
            </w:r>
          </w:p>
        </w:tc>
        <w:tc>
          <w:tcPr>
            <w:tcW w:w="1276" w:type="dxa"/>
            <w:tcMar>
              <w:left w:w="108" w:type="dxa"/>
              <w:right w:w="108" w:type="dxa"/>
            </w:tcMar>
            <w:vAlign w:val="center"/>
          </w:tcPr>
          <w:p w14:paraId="456345E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062EDB7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21D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tcMar>
              <w:left w:w="108" w:type="dxa"/>
              <w:right w:w="108" w:type="dxa"/>
            </w:tcMar>
            <w:vAlign w:val="center"/>
          </w:tcPr>
          <w:p w14:paraId="6967811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霜霉病</w:t>
            </w:r>
          </w:p>
        </w:tc>
        <w:tc>
          <w:tcPr>
            <w:tcW w:w="1276" w:type="dxa"/>
            <w:tcMar>
              <w:left w:w="108" w:type="dxa"/>
              <w:right w:w="108" w:type="dxa"/>
            </w:tcMar>
            <w:vAlign w:val="center"/>
          </w:tcPr>
          <w:p w14:paraId="2863DB9E">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060B2F88">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250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升吡唑醚菌酯乳油</w:t>
            </w:r>
          </w:p>
        </w:tc>
        <w:tc>
          <w:tcPr>
            <w:tcW w:w="2153" w:type="dxa"/>
            <w:tcMar>
              <w:left w:w="108" w:type="dxa"/>
              <w:right w:w="108" w:type="dxa"/>
            </w:tcMar>
            <w:vAlign w:val="center"/>
          </w:tcPr>
          <w:p w14:paraId="03E3BA6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30-40毫升/亩</w:t>
            </w:r>
          </w:p>
        </w:tc>
        <w:tc>
          <w:tcPr>
            <w:tcW w:w="1276" w:type="dxa"/>
            <w:tcMar>
              <w:left w:w="108" w:type="dxa"/>
              <w:right w:w="108" w:type="dxa"/>
            </w:tcMar>
            <w:vAlign w:val="center"/>
          </w:tcPr>
          <w:p w14:paraId="19913E8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5ECCCDF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5B7B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5CB3927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菌核病</w:t>
            </w:r>
          </w:p>
        </w:tc>
        <w:tc>
          <w:tcPr>
            <w:tcW w:w="1276" w:type="dxa"/>
            <w:tcMar>
              <w:left w:w="108" w:type="dxa"/>
              <w:right w:w="108" w:type="dxa"/>
            </w:tcMar>
            <w:vAlign w:val="center"/>
          </w:tcPr>
          <w:p w14:paraId="536FBBE7">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发病初期</w:t>
            </w:r>
          </w:p>
        </w:tc>
        <w:tc>
          <w:tcPr>
            <w:tcW w:w="2383" w:type="dxa"/>
            <w:tcMar>
              <w:left w:w="108" w:type="dxa"/>
              <w:right w:w="108" w:type="dxa"/>
            </w:tcMar>
            <w:vAlign w:val="center"/>
          </w:tcPr>
          <w:p w14:paraId="79D490AF">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400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升氟硅唑乳油</w:t>
            </w:r>
          </w:p>
        </w:tc>
        <w:tc>
          <w:tcPr>
            <w:tcW w:w="2153" w:type="dxa"/>
            <w:tcMar>
              <w:left w:w="108" w:type="dxa"/>
              <w:right w:w="108" w:type="dxa"/>
            </w:tcMar>
            <w:vAlign w:val="center"/>
          </w:tcPr>
          <w:p w14:paraId="2F12180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3-5毫升/亩</w:t>
            </w:r>
          </w:p>
        </w:tc>
        <w:tc>
          <w:tcPr>
            <w:tcW w:w="1276" w:type="dxa"/>
            <w:tcMar>
              <w:left w:w="108" w:type="dxa"/>
              <w:right w:w="108" w:type="dxa"/>
            </w:tcMar>
            <w:vAlign w:val="center"/>
          </w:tcPr>
          <w:p w14:paraId="44F1BA9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00CC574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28</w:t>
            </w:r>
          </w:p>
        </w:tc>
      </w:tr>
      <w:tr w14:paraId="6B53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00B54A4E">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B699A0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发病初期</w:t>
            </w:r>
          </w:p>
        </w:tc>
        <w:tc>
          <w:tcPr>
            <w:tcW w:w="2383" w:type="dxa"/>
            <w:tcMar>
              <w:left w:w="108" w:type="dxa"/>
              <w:right w:w="108" w:type="dxa"/>
            </w:tcMar>
            <w:vAlign w:val="center"/>
          </w:tcPr>
          <w:p w14:paraId="64661CCE">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25%</w:t>
            </w:r>
            <w:r>
              <w:rPr>
                <w:rFonts w:hint="eastAsia" w:ascii="Times New Roman" w:hAnsi="Times New Roman" w:eastAsia="仿宋" w:cs="Times New Roman"/>
                <w:color w:val="auto"/>
                <w:sz w:val="24"/>
                <w:szCs w:val="24"/>
              </w:rPr>
              <w:t>吡唑醚菌酯悬浮剂</w:t>
            </w:r>
          </w:p>
        </w:tc>
        <w:tc>
          <w:tcPr>
            <w:tcW w:w="2153" w:type="dxa"/>
            <w:tcMar>
              <w:left w:w="108" w:type="dxa"/>
              <w:right w:w="108" w:type="dxa"/>
            </w:tcMar>
            <w:vAlign w:val="center"/>
          </w:tcPr>
          <w:p w14:paraId="043D89B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40-50毫升/亩</w:t>
            </w:r>
          </w:p>
        </w:tc>
        <w:tc>
          <w:tcPr>
            <w:tcW w:w="1276" w:type="dxa"/>
            <w:tcMar>
              <w:left w:w="108" w:type="dxa"/>
              <w:right w:w="108" w:type="dxa"/>
            </w:tcMar>
            <w:vAlign w:val="center"/>
          </w:tcPr>
          <w:p w14:paraId="2AD9EBC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3444EAA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6243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1484EF0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紫斑病</w:t>
            </w:r>
          </w:p>
        </w:tc>
        <w:tc>
          <w:tcPr>
            <w:tcW w:w="1276" w:type="dxa"/>
            <w:tcMar>
              <w:left w:w="108" w:type="dxa"/>
              <w:right w:w="108" w:type="dxa"/>
            </w:tcMar>
            <w:vAlign w:val="center"/>
          </w:tcPr>
          <w:p w14:paraId="2CC9115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59805B21">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80%</w:t>
            </w:r>
            <w:r>
              <w:rPr>
                <w:rFonts w:hint="eastAsia" w:ascii="Times New Roman" w:hAnsi="Times New Roman" w:eastAsia="仿宋" w:cs="Times New Roman"/>
                <w:color w:val="auto"/>
                <w:sz w:val="24"/>
                <w:szCs w:val="24"/>
              </w:rPr>
              <w:t>乙蒜素乳油</w:t>
            </w:r>
          </w:p>
        </w:tc>
        <w:tc>
          <w:tcPr>
            <w:tcW w:w="2153" w:type="dxa"/>
            <w:tcMar>
              <w:left w:w="108" w:type="dxa"/>
              <w:right w:w="108" w:type="dxa"/>
            </w:tcMar>
            <w:vAlign w:val="center"/>
          </w:tcPr>
          <w:p w14:paraId="194AE7A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5000倍液</w:t>
            </w:r>
          </w:p>
        </w:tc>
        <w:tc>
          <w:tcPr>
            <w:tcW w:w="1276" w:type="dxa"/>
            <w:tcMar>
              <w:left w:w="108" w:type="dxa"/>
              <w:right w:w="108" w:type="dxa"/>
            </w:tcMar>
            <w:vAlign w:val="center"/>
          </w:tcPr>
          <w:p w14:paraId="3ECD52A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591434D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6CC3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17C1B247">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6515896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发病初期</w:t>
            </w:r>
          </w:p>
        </w:tc>
        <w:tc>
          <w:tcPr>
            <w:tcW w:w="2383" w:type="dxa"/>
            <w:tcMar>
              <w:left w:w="108" w:type="dxa"/>
              <w:right w:w="108" w:type="dxa"/>
            </w:tcMar>
            <w:vAlign w:val="center"/>
          </w:tcPr>
          <w:p w14:paraId="4147903C">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w:t>
            </w:r>
            <w:r>
              <w:rPr>
                <w:rFonts w:hint="eastAsia" w:ascii="Times New Roman" w:hAnsi="Times New Roman" w:eastAsia="仿宋" w:cs="Times New Roman"/>
                <w:color w:val="auto"/>
                <w:sz w:val="24"/>
                <w:szCs w:val="24"/>
              </w:rPr>
              <w:t>苯甲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吡唑酯悬浮剂</w:t>
            </w:r>
          </w:p>
        </w:tc>
        <w:tc>
          <w:tcPr>
            <w:tcW w:w="2153" w:type="dxa"/>
            <w:tcMar>
              <w:left w:w="108" w:type="dxa"/>
              <w:right w:w="108" w:type="dxa"/>
            </w:tcMar>
            <w:vAlign w:val="center"/>
          </w:tcPr>
          <w:p w14:paraId="1A97DBE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20-30毫升/亩</w:t>
            </w:r>
          </w:p>
        </w:tc>
        <w:tc>
          <w:tcPr>
            <w:tcW w:w="1276" w:type="dxa"/>
            <w:tcMar>
              <w:left w:w="108" w:type="dxa"/>
              <w:right w:w="108" w:type="dxa"/>
            </w:tcMar>
            <w:vAlign w:val="center"/>
          </w:tcPr>
          <w:p w14:paraId="48BA4AC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1EB40B2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6BC6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6EE390D5">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7D6FC97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发病初期</w:t>
            </w:r>
          </w:p>
        </w:tc>
        <w:tc>
          <w:tcPr>
            <w:tcW w:w="2383" w:type="dxa"/>
            <w:tcMar>
              <w:left w:w="108" w:type="dxa"/>
              <w:right w:w="108" w:type="dxa"/>
            </w:tcMar>
            <w:vAlign w:val="center"/>
          </w:tcPr>
          <w:p w14:paraId="038C874F">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19%</w:t>
            </w:r>
            <w:r>
              <w:rPr>
                <w:rFonts w:hint="eastAsia" w:ascii="Times New Roman" w:hAnsi="Times New Roman" w:eastAsia="仿宋" w:cs="Times New Roman"/>
                <w:color w:val="auto"/>
                <w:sz w:val="24"/>
                <w:szCs w:val="24"/>
              </w:rPr>
              <w:t>丙环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嘧菌酯悬浮剂</w:t>
            </w:r>
          </w:p>
        </w:tc>
        <w:tc>
          <w:tcPr>
            <w:tcW w:w="2153" w:type="dxa"/>
            <w:tcMar>
              <w:left w:w="108" w:type="dxa"/>
              <w:right w:w="108" w:type="dxa"/>
            </w:tcMar>
            <w:vAlign w:val="center"/>
          </w:tcPr>
          <w:p w14:paraId="4D781E7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30-60毫升/亩</w:t>
            </w:r>
          </w:p>
        </w:tc>
        <w:tc>
          <w:tcPr>
            <w:tcW w:w="1276" w:type="dxa"/>
            <w:tcMar>
              <w:left w:w="108" w:type="dxa"/>
              <w:right w:w="108" w:type="dxa"/>
            </w:tcMar>
            <w:vAlign w:val="center"/>
          </w:tcPr>
          <w:p w14:paraId="1F5C1F8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5B6CAA7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50B0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6DEEFAA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炭疽病</w:t>
            </w:r>
          </w:p>
        </w:tc>
        <w:tc>
          <w:tcPr>
            <w:tcW w:w="1276" w:type="dxa"/>
            <w:tcMar>
              <w:left w:w="108" w:type="dxa"/>
              <w:right w:w="108" w:type="dxa"/>
            </w:tcMar>
            <w:vAlign w:val="center"/>
          </w:tcPr>
          <w:p w14:paraId="0409D859">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发病初期</w:t>
            </w:r>
          </w:p>
        </w:tc>
        <w:tc>
          <w:tcPr>
            <w:tcW w:w="2383" w:type="dxa"/>
            <w:tcMar>
              <w:left w:w="108" w:type="dxa"/>
              <w:right w:w="108" w:type="dxa"/>
            </w:tcMar>
            <w:vAlign w:val="center"/>
          </w:tcPr>
          <w:p w14:paraId="52E6C949">
            <w:pPr>
              <w:snapToGrid w:val="0"/>
              <w:jc w:val="left"/>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2%</w:t>
            </w:r>
            <w:r>
              <w:rPr>
                <w:rFonts w:hint="eastAsia" w:ascii="Times New Roman" w:hAnsi="Times New Roman" w:eastAsia="仿宋" w:cs="Times New Roman"/>
                <w:color w:val="auto"/>
                <w:sz w:val="24"/>
                <w:szCs w:val="24"/>
              </w:rPr>
              <w:t>氨基寡糖素水剂</w:t>
            </w:r>
          </w:p>
        </w:tc>
        <w:tc>
          <w:tcPr>
            <w:tcW w:w="2153" w:type="dxa"/>
            <w:tcMar>
              <w:left w:w="108" w:type="dxa"/>
              <w:right w:w="108" w:type="dxa"/>
            </w:tcMar>
            <w:vAlign w:val="center"/>
          </w:tcPr>
          <w:p w14:paraId="0FA84333">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125-245毫升/亩</w:t>
            </w:r>
          </w:p>
        </w:tc>
        <w:tc>
          <w:tcPr>
            <w:tcW w:w="1276" w:type="dxa"/>
            <w:tcMar>
              <w:left w:w="108" w:type="dxa"/>
              <w:right w:w="108" w:type="dxa"/>
            </w:tcMar>
            <w:vAlign w:val="center"/>
          </w:tcPr>
          <w:p w14:paraId="6FBD7F2F">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6705FDFC">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w:t>
            </w:r>
          </w:p>
        </w:tc>
      </w:tr>
      <w:tr w14:paraId="45E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2EADA5CB">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57E36F9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病症出现前</w:t>
            </w:r>
          </w:p>
        </w:tc>
        <w:tc>
          <w:tcPr>
            <w:tcW w:w="2383" w:type="dxa"/>
            <w:tcMar>
              <w:left w:w="108" w:type="dxa"/>
              <w:right w:w="108" w:type="dxa"/>
            </w:tcMar>
            <w:vAlign w:val="center"/>
          </w:tcPr>
          <w:p w14:paraId="5F9903ED">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75%</w:t>
            </w:r>
            <w:r>
              <w:rPr>
                <w:rFonts w:hint="eastAsia" w:ascii="Times New Roman" w:hAnsi="Times New Roman" w:eastAsia="仿宋" w:cs="Times New Roman"/>
                <w:color w:val="auto"/>
                <w:sz w:val="24"/>
                <w:szCs w:val="24"/>
              </w:rPr>
              <w:t>代森锰锌水分散粒剂</w:t>
            </w:r>
          </w:p>
        </w:tc>
        <w:tc>
          <w:tcPr>
            <w:tcW w:w="2153" w:type="dxa"/>
            <w:tcMar>
              <w:left w:w="108" w:type="dxa"/>
              <w:right w:w="108" w:type="dxa"/>
            </w:tcMar>
            <w:vAlign w:val="center"/>
          </w:tcPr>
          <w:p w14:paraId="2B6C126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100-133克/亩</w:t>
            </w:r>
          </w:p>
        </w:tc>
        <w:tc>
          <w:tcPr>
            <w:tcW w:w="1276" w:type="dxa"/>
            <w:tcMar>
              <w:left w:w="108" w:type="dxa"/>
              <w:right w:w="108" w:type="dxa"/>
            </w:tcMar>
            <w:vAlign w:val="center"/>
          </w:tcPr>
          <w:p w14:paraId="561104C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50AFD27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28</w:t>
            </w:r>
          </w:p>
        </w:tc>
      </w:tr>
      <w:tr w14:paraId="53D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703884AA">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褐斑病</w:t>
            </w:r>
          </w:p>
        </w:tc>
        <w:tc>
          <w:tcPr>
            <w:tcW w:w="1276" w:type="dxa"/>
            <w:tcMar>
              <w:left w:w="108" w:type="dxa"/>
              <w:right w:w="108" w:type="dxa"/>
            </w:tcMar>
            <w:vAlign w:val="center"/>
          </w:tcPr>
          <w:p w14:paraId="442DCECB">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1408F79F">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250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升吡唑醚菌酯乳油</w:t>
            </w:r>
          </w:p>
        </w:tc>
        <w:tc>
          <w:tcPr>
            <w:tcW w:w="2153" w:type="dxa"/>
            <w:tcMar>
              <w:left w:w="108" w:type="dxa"/>
              <w:right w:w="108" w:type="dxa"/>
            </w:tcMar>
            <w:vAlign w:val="center"/>
          </w:tcPr>
          <w:p w14:paraId="18CEA35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30-40毫升/亩</w:t>
            </w:r>
          </w:p>
        </w:tc>
        <w:tc>
          <w:tcPr>
            <w:tcW w:w="1276" w:type="dxa"/>
            <w:tcMar>
              <w:left w:w="108" w:type="dxa"/>
              <w:right w:w="108" w:type="dxa"/>
            </w:tcMar>
            <w:vAlign w:val="center"/>
          </w:tcPr>
          <w:p w14:paraId="2C6E51A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733F977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0F6F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6D9E5DB2">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5147FB9A">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28A78FCD">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17%</w:t>
            </w:r>
            <w:r>
              <w:rPr>
                <w:rFonts w:hint="eastAsia" w:ascii="Times New Roman" w:hAnsi="Times New Roman" w:eastAsia="仿宋" w:cs="Times New Roman"/>
                <w:color w:val="auto"/>
                <w:sz w:val="24"/>
                <w:szCs w:val="24"/>
              </w:rPr>
              <w:t>唑醚</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氟环唑悬浮剂</w:t>
            </w:r>
          </w:p>
        </w:tc>
        <w:tc>
          <w:tcPr>
            <w:tcW w:w="2153" w:type="dxa"/>
            <w:tcMar>
              <w:left w:w="108" w:type="dxa"/>
              <w:right w:w="108" w:type="dxa"/>
            </w:tcMar>
            <w:vAlign w:val="center"/>
          </w:tcPr>
          <w:p w14:paraId="333C7A4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50-60毫升/亩</w:t>
            </w:r>
          </w:p>
        </w:tc>
        <w:tc>
          <w:tcPr>
            <w:tcW w:w="1276" w:type="dxa"/>
            <w:tcMar>
              <w:left w:w="108" w:type="dxa"/>
              <w:right w:w="108" w:type="dxa"/>
            </w:tcMar>
            <w:vAlign w:val="center"/>
          </w:tcPr>
          <w:p w14:paraId="656603D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065D342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28</w:t>
            </w:r>
          </w:p>
        </w:tc>
      </w:tr>
      <w:tr w14:paraId="059C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1D993104">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6F331BBF">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60C1938B">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19%</w:t>
            </w:r>
            <w:r>
              <w:rPr>
                <w:rFonts w:hint="eastAsia" w:ascii="Times New Roman" w:hAnsi="Times New Roman" w:eastAsia="仿宋" w:cs="Times New Roman"/>
                <w:color w:val="auto"/>
                <w:sz w:val="24"/>
                <w:szCs w:val="24"/>
              </w:rPr>
              <w:t>丙环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嘧菌酯悬浮剂</w:t>
            </w:r>
          </w:p>
        </w:tc>
        <w:tc>
          <w:tcPr>
            <w:tcW w:w="2153" w:type="dxa"/>
            <w:tcMar>
              <w:left w:w="108" w:type="dxa"/>
              <w:right w:w="108" w:type="dxa"/>
            </w:tcMar>
            <w:vAlign w:val="center"/>
          </w:tcPr>
          <w:p w14:paraId="309A800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30-60毫升/亩</w:t>
            </w:r>
          </w:p>
        </w:tc>
        <w:tc>
          <w:tcPr>
            <w:tcW w:w="1276" w:type="dxa"/>
            <w:tcMar>
              <w:left w:w="108" w:type="dxa"/>
              <w:right w:w="108" w:type="dxa"/>
            </w:tcMar>
            <w:vAlign w:val="center"/>
          </w:tcPr>
          <w:p w14:paraId="1B902B4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162CA7E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74BF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69F9547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白粉病</w:t>
            </w:r>
          </w:p>
        </w:tc>
        <w:tc>
          <w:tcPr>
            <w:tcW w:w="1276" w:type="dxa"/>
            <w:tcMar>
              <w:left w:w="108" w:type="dxa"/>
              <w:right w:w="108" w:type="dxa"/>
            </w:tcMar>
            <w:vAlign w:val="center"/>
          </w:tcPr>
          <w:p w14:paraId="60AF3C66">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发病初期</w:t>
            </w:r>
          </w:p>
        </w:tc>
        <w:tc>
          <w:tcPr>
            <w:tcW w:w="2383" w:type="dxa"/>
            <w:tcMar>
              <w:left w:w="108" w:type="dxa"/>
              <w:right w:w="108" w:type="dxa"/>
            </w:tcMar>
            <w:vAlign w:val="center"/>
          </w:tcPr>
          <w:p w14:paraId="371F365B">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250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升吡唑醚菌酯乳油</w:t>
            </w:r>
          </w:p>
        </w:tc>
        <w:tc>
          <w:tcPr>
            <w:tcW w:w="2153" w:type="dxa"/>
            <w:tcMar>
              <w:left w:w="108" w:type="dxa"/>
              <w:right w:w="108" w:type="dxa"/>
            </w:tcMar>
            <w:vAlign w:val="center"/>
          </w:tcPr>
          <w:p w14:paraId="36F0CA1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30-40毫升/亩</w:t>
            </w:r>
          </w:p>
        </w:tc>
        <w:tc>
          <w:tcPr>
            <w:tcW w:w="1276" w:type="dxa"/>
            <w:tcMar>
              <w:left w:w="108" w:type="dxa"/>
              <w:right w:w="108" w:type="dxa"/>
            </w:tcMar>
            <w:vAlign w:val="center"/>
          </w:tcPr>
          <w:p w14:paraId="3308097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04E1677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67AC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3B982FA2">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52F3966A">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发病初期</w:t>
            </w:r>
          </w:p>
        </w:tc>
        <w:tc>
          <w:tcPr>
            <w:tcW w:w="2383" w:type="dxa"/>
            <w:tcMar>
              <w:left w:w="108" w:type="dxa"/>
              <w:right w:w="108" w:type="dxa"/>
            </w:tcMar>
            <w:vAlign w:val="center"/>
          </w:tcPr>
          <w:p w14:paraId="5EBDDF6D">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17%</w:t>
            </w:r>
            <w:r>
              <w:rPr>
                <w:rFonts w:hint="eastAsia" w:ascii="Times New Roman" w:hAnsi="Times New Roman" w:eastAsia="仿宋" w:cs="Times New Roman"/>
                <w:color w:val="auto"/>
                <w:sz w:val="24"/>
                <w:szCs w:val="24"/>
              </w:rPr>
              <w:t>唑醚</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氟环唑悬浮剂</w:t>
            </w:r>
          </w:p>
        </w:tc>
        <w:tc>
          <w:tcPr>
            <w:tcW w:w="2153" w:type="dxa"/>
            <w:tcMar>
              <w:left w:w="108" w:type="dxa"/>
              <w:right w:w="108" w:type="dxa"/>
            </w:tcMar>
            <w:vAlign w:val="center"/>
          </w:tcPr>
          <w:p w14:paraId="36CB1B9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50-60毫升/亩</w:t>
            </w:r>
          </w:p>
        </w:tc>
        <w:tc>
          <w:tcPr>
            <w:tcW w:w="1276" w:type="dxa"/>
            <w:tcMar>
              <w:left w:w="108" w:type="dxa"/>
              <w:right w:w="108" w:type="dxa"/>
            </w:tcMar>
            <w:vAlign w:val="center"/>
          </w:tcPr>
          <w:p w14:paraId="4CB16A9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1C526CE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28</w:t>
            </w:r>
          </w:p>
        </w:tc>
      </w:tr>
      <w:tr w14:paraId="2EC9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5BF9E234">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7EBAB3F5">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发病初期</w:t>
            </w:r>
          </w:p>
        </w:tc>
        <w:tc>
          <w:tcPr>
            <w:tcW w:w="2383" w:type="dxa"/>
            <w:tcMar>
              <w:left w:w="108" w:type="dxa"/>
              <w:right w:w="108" w:type="dxa"/>
            </w:tcMar>
            <w:vAlign w:val="center"/>
          </w:tcPr>
          <w:p w14:paraId="30834644">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19%</w:t>
            </w:r>
            <w:r>
              <w:rPr>
                <w:rFonts w:hint="eastAsia" w:ascii="Times New Roman" w:hAnsi="Times New Roman" w:eastAsia="仿宋" w:cs="Times New Roman"/>
                <w:color w:val="auto"/>
                <w:sz w:val="24"/>
                <w:szCs w:val="24"/>
              </w:rPr>
              <w:t>丙环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嘧菌酯悬浮剂</w:t>
            </w:r>
          </w:p>
        </w:tc>
        <w:tc>
          <w:tcPr>
            <w:tcW w:w="2153" w:type="dxa"/>
            <w:shd w:val="clear" w:color="auto" w:fill="auto"/>
            <w:tcMar>
              <w:left w:w="108" w:type="dxa"/>
              <w:right w:w="108" w:type="dxa"/>
            </w:tcMar>
            <w:vAlign w:val="center"/>
          </w:tcPr>
          <w:p w14:paraId="7FFBAE7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30-60毫升/亩</w:t>
            </w:r>
          </w:p>
        </w:tc>
        <w:tc>
          <w:tcPr>
            <w:tcW w:w="1276" w:type="dxa"/>
            <w:shd w:val="clear" w:color="auto" w:fill="auto"/>
            <w:tcMar>
              <w:left w:w="108" w:type="dxa"/>
              <w:right w:w="108" w:type="dxa"/>
            </w:tcMar>
            <w:vAlign w:val="center"/>
          </w:tcPr>
          <w:p w14:paraId="5BFF71C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shd w:val="clear" w:color="auto" w:fill="auto"/>
            <w:tcMar>
              <w:left w:w="108" w:type="dxa"/>
              <w:right w:w="108" w:type="dxa"/>
            </w:tcMar>
            <w:vAlign w:val="center"/>
          </w:tcPr>
          <w:p w14:paraId="16B4189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58F3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251929D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锈病</w:t>
            </w:r>
          </w:p>
        </w:tc>
        <w:tc>
          <w:tcPr>
            <w:tcW w:w="1276" w:type="dxa"/>
            <w:tcMar>
              <w:left w:w="108" w:type="dxa"/>
              <w:right w:w="108" w:type="dxa"/>
            </w:tcMar>
            <w:vAlign w:val="center"/>
          </w:tcPr>
          <w:p w14:paraId="5A3C251A">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发病初期</w:t>
            </w:r>
          </w:p>
        </w:tc>
        <w:tc>
          <w:tcPr>
            <w:tcW w:w="2383" w:type="dxa"/>
            <w:tcMar>
              <w:left w:w="108" w:type="dxa"/>
              <w:right w:w="108" w:type="dxa"/>
            </w:tcMar>
            <w:vAlign w:val="center"/>
          </w:tcPr>
          <w:p w14:paraId="79858906">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25%</w:t>
            </w:r>
            <w:r>
              <w:rPr>
                <w:rFonts w:hint="eastAsia" w:ascii="Times New Roman" w:hAnsi="Times New Roman" w:eastAsia="仿宋" w:cs="Times New Roman"/>
                <w:color w:val="auto"/>
                <w:sz w:val="24"/>
                <w:szCs w:val="24"/>
              </w:rPr>
              <w:t>嘧菌酯悬浮剂</w:t>
            </w:r>
          </w:p>
        </w:tc>
        <w:tc>
          <w:tcPr>
            <w:tcW w:w="2153" w:type="dxa"/>
            <w:shd w:val="clear" w:color="auto" w:fill="auto"/>
            <w:tcMar>
              <w:left w:w="108" w:type="dxa"/>
              <w:right w:w="108" w:type="dxa"/>
            </w:tcMar>
            <w:vAlign w:val="center"/>
          </w:tcPr>
          <w:p w14:paraId="71466AF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40-50毫升/亩</w:t>
            </w:r>
          </w:p>
        </w:tc>
        <w:tc>
          <w:tcPr>
            <w:tcW w:w="1276" w:type="dxa"/>
            <w:shd w:val="clear" w:color="auto" w:fill="auto"/>
            <w:tcMar>
              <w:left w:w="108" w:type="dxa"/>
              <w:right w:w="108" w:type="dxa"/>
            </w:tcMar>
            <w:vAlign w:val="center"/>
          </w:tcPr>
          <w:p w14:paraId="51B3BAD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shd w:val="clear" w:color="auto" w:fill="auto"/>
            <w:tcMar>
              <w:left w:w="108" w:type="dxa"/>
              <w:right w:w="108" w:type="dxa"/>
            </w:tcMar>
            <w:vAlign w:val="center"/>
          </w:tcPr>
          <w:p w14:paraId="5B62D1A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38E1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74D4553B">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4ECF701B">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发病初期</w:t>
            </w:r>
          </w:p>
        </w:tc>
        <w:tc>
          <w:tcPr>
            <w:tcW w:w="2383" w:type="dxa"/>
            <w:tcMar>
              <w:left w:w="108" w:type="dxa"/>
              <w:right w:w="108" w:type="dxa"/>
            </w:tcMar>
            <w:vAlign w:val="center"/>
          </w:tcPr>
          <w:p w14:paraId="4E0047BA">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w:t>
            </w:r>
            <w:r>
              <w:rPr>
                <w:rFonts w:hint="eastAsia" w:ascii="Times New Roman" w:hAnsi="Times New Roman" w:eastAsia="仿宋" w:cs="Times New Roman"/>
                <w:color w:val="auto"/>
                <w:sz w:val="24"/>
                <w:szCs w:val="24"/>
              </w:rPr>
              <w:t>苯甲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丙环唑乳油</w:t>
            </w:r>
          </w:p>
        </w:tc>
        <w:tc>
          <w:tcPr>
            <w:tcW w:w="2153" w:type="dxa"/>
            <w:tcMar>
              <w:left w:w="108" w:type="dxa"/>
              <w:right w:w="108" w:type="dxa"/>
            </w:tcMar>
            <w:vAlign w:val="center"/>
          </w:tcPr>
          <w:p w14:paraId="437ECFB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20-30毫升/亩</w:t>
            </w:r>
          </w:p>
        </w:tc>
        <w:tc>
          <w:tcPr>
            <w:tcW w:w="1276" w:type="dxa"/>
            <w:tcMar>
              <w:left w:w="108" w:type="dxa"/>
              <w:right w:w="108" w:type="dxa"/>
            </w:tcMar>
            <w:vAlign w:val="center"/>
          </w:tcPr>
          <w:p w14:paraId="56CBB44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68A70ED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w:t>
            </w:r>
          </w:p>
        </w:tc>
      </w:tr>
      <w:tr w14:paraId="7751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28D70EF0">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5F261441">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发病初期</w:t>
            </w:r>
          </w:p>
        </w:tc>
        <w:tc>
          <w:tcPr>
            <w:tcW w:w="2383" w:type="dxa"/>
            <w:tcMar>
              <w:left w:w="108" w:type="dxa"/>
              <w:right w:w="108" w:type="dxa"/>
            </w:tcMar>
            <w:vAlign w:val="center"/>
          </w:tcPr>
          <w:p w14:paraId="7F8D405F">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17%</w:t>
            </w:r>
            <w:r>
              <w:rPr>
                <w:rFonts w:hint="eastAsia" w:ascii="Times New Roman" w:hAnsi="Times New Roman" w:eastAsia="仿宋" w:cs="Times New Roman"/>
                <w:color w:val="auto"/>
                <w:sz w:val="24"/>
                <w:szCs w:val="24"/>
              </w:rPr>
              <w:t>唑醚</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氟环唑悬浮剂</w:t>
            </w:r>
          </w:p>
        </w:tc>
        <w:tc>
          <w:tcPr>
            <w:tcW w:w="2153" w:type="dxa"/>
            <w:tcMar>
              <w:left w:w="108" w:type="dxa"/>
              <w:right w:w="108" w:type="dxa"/>
            </w:tcMar>
            <w:vAlign w:val="center"/>
          </w:tcPr>
          <w:p w14:paraId="486268D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50-60毫升/亩</w:t>
            </w:r>
          </w:p>
        </w:tc>
        <w:tc>
          <w:tcPr>
            <w:tcW w:w="1276" w:type="dxa"/>
            <w:tcMar>
              <w:left w:w="108" w:type="dxa"/>
              <w:right w:w="108" w:type="dxa"/>
            </w:tcMar>
            <w:vAlign w:val="center"/>
          </w:tcPr>
          <w:p w14:paraId="09D0BBD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4DE460D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28</w:t>
            </w:r>
          </w:p>
        </w:tc>
      </w:tr>
      <w:tr w14:paraId="5696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7C1B71F2">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拟茎点霉茎枯病</w:t>
            </w:r>
            <w:r>
              <w:rPr>
                <w:rFonts w:ascii="Times New Roman" w:hAnsi="Times New Roman" w:eastAsia="仿宋" w:cs="Times New Roman"/>
                <w:color w:val="auto"/>
                <w:sz w:val="24"/>
                <w:szCs w:val="24"/>
              </w:rPr>
              <w:t>病</w:t>
            </w:r>
          </w:p>
        </w:tc>
        <w:tc>
          <w:tcPr>
            <w:tcW w:w="1276" w:type="dxa"/>
            <w:tcMar>
              <w:left w:w="108" w:type="dxa"/>
              <w:right w:w="108" w:type="dxa"/>
            </w:tcMar>
            <w:vAlign w:val="center"/>
          </w:tcPr>
          <w:p w14:paraId="0A50BDF0">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3CB8321A">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250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升吡唑醚菌酯乳油</w:t>
            </w:r>
          </w:p>
        </w:tc>
        <w:tc>
          <w:tcPr>
            <w:tcW w:w="2153" w:type="dxa"/>
            <w:tcMar>
              <w:left w:w="108" w:type="dxa"/>
              <w:right w:w="108" w:type="dxa"/>
            </w:tcMar>
            <w:vAlign w:val="center"/>
          </w:tcPr>
          <w:p w14:paraId="7B2E120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30-40毫升/亩</w:t>
            </w:r>
          </w:p>
        </w:tc>
        <w:tc>
          <w:tcPr>
            <w:tcW w:w="1276" w:type="dxa"/>
            <w:tcMar>
              <w:left w:w="108" w:type="dxa"/>
              <w:right w:w="108" w:type="dxa"/>
            </w:tcMar>
            <w:vAlign w:val="center"/>
          </w:tcPr>
          <w:p w14:paraId="21A6836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6CBDFBD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7554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60388B24">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588E2D65">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2D5063D2">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17%</w:t>
            </w:r>
            <w:r>
              <w:rPr>
                <w:rFonts w:hint="eastAsia" w:ascii="Times New Roman" w:hAnsi="Times New Roman" w:eastAsia="仿宋" w:cs="Times New Roman"/>
                <w:color w:val="auto"/>
                <w:sz w:val="24"/>
                <w:szCs w:val="24"/>
              </w:rPr>
              <w:t>唑醚</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氟环唑悬浮剂</w:t>
            </w:r>
          </w:p>
        </w:tc>
        <w:tc>
          <w:tcPr>
            <w:tcW w:w="2153" w:type="dxa"/>
            <w:tcMar>
              <w:left w:w="108" w:type="dxa"/>
              <w:right w:w="108" w:type="dxa"/>
            </w:tcMar>
            <w:vAlign w:val="center"/>
          </w:tcPr>
          <w:p w14:paraId="182D81F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50-60毫升/亩</w:t>
            </w:r>
          </w:p>
        </w:tc>
        <w:tc>
          <w:tcPr>
            <w:tcW w:w="1276" w:type="dxa"/>
            <w:tcMar>
              <w:left w:w="108" w:type="dxa"/>
              <w:right w:w="108" w:type="dxa"/>
            </w:tcMar>
            <w:vAlign w:val="center"/>
          </w:tcPr>
          <w:p w14:paraId="24318E6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4C01319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28</w:t>
            </w:r>
          </w:p>
        </w:tc>
      </w:tr>
      <w:tr w14:paraId="39C3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777383A0">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61E06605">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1251CFE0">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w:t>
            </w:r>
            <w:r>
              <w:rPr>
                <w:rFonts w:hint="eastAsia" w:ascii="Times New Roman" w:hAnsi="Times New Roman" w:eastAsia="仿宋" w:cs="Times New Roman"/>
                <w:color w:val="auto"/>
                <w:sz w:val="24"/>
                <w:szCs w:val="24"/>
              </w:rPr>
              <w:t>苯甲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吡唑酯悬浮剂</w:t>
            </w:r>
          </w:p>
        </w:tc>
        <w:tc>
          <w:tcPr>
            <w:tcW w:w="2153" w:type="dxa"/>
            <w:tcMar>
              <w:left w:w="108" w:type="dxa"/>
              <w:right w:w="108" w:type="dxa"/>
            </w:tcMar>
            <w:vAlign w:val="center"/>
          </w:tcPr>
          <w:p w14:paraId="5980E79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20-30毫升/亩</w:t>
            </w:r>
          </w:p>
        </w:tc>
        <w:tc>
          <w:tcPr>
            <w:tcW w:w="1276" w:type="dxa"/>
            <w:tcMar>
              <w:left w:w="108" w:type="dxa"/>
              <w:right w:w="108" w:type="dxa"/>
            </w:tcMar>
            <w:vAlign w:val="center"/>
          </w:tcPr>
          <w:p w14:paraId="2151E1B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29B79C2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182D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51451E5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羞萎病</w:t>
            </w:r>
          </w:p>
        </w:tc>
        <w:tc>
          <w:tcPr>
            <w:tcW w:w="1276" w:type="dxa"/>
            <w:tcMar>
              <w:left w:w="108" w:type="dxa"/>
              <w:right w:w="108" w:type="dxa"/>
            </w:tcMar>
            <w:vAlign w:val="center"/>
          </w:tcPr>
          <w:p w14:paraId="41968069">
            <w:pPr>
              <w:snapToGrid w:val="0"/>
              <w:jc w:val="center"/>
              <w:rPr>
                <w:rFonts w:ascii="Times New Roman" w:hAnsi="Times New Roman" w:eastAsia="仿宋" w:cs="Times New Roman"/>
                <w:strike/>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6FF2B3E0">
            <w:pPr>
              <w:snapToGrid w:val="0"/>
              <w:jc w:val="left"/>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17%</w:t>
            </w:r>
            <w:r>
              <w:rPr>
                <w:rFonts w:hint="eastAsia" w:ascii="Times New Roman" w:hAnsi="Times New Roman" w:eastAsia="仿宋" w:cs="Times New Roman"/>
                <w:color w:val="auto"/>
                <w:sz w:val="24"/>
                <w:szCs w:val="24"/>
              </w:rPr>
              <w:t>唑醚</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氟环唑悬浮剂</w:t>
            </w:r>
          </w:p>
        </w:tc>
        <w:tc>
          <w:tcPr>
            <w:tcW w:w="2153" w:type="dxa"/>
            <w:tcMar>
              <w:left w:w="108" w:type="dxa"/>
              <w:right w:w="108" w:type="dxa"/>
            </w:tcMar>
            <w:vAlign w:val="center"/>
          </w:tcPr>
          <w:p w14:paraId="0C97A034">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50-60毫升/亩</w:t>
            </w:r>
          </w:p>
        </w:tc>
        <w:tc>
          <w:tcPr>
            <w:tcW w:w="1276" w:type="dxa"/>
            <w:tcMar>
              <w:left w:w="108" w:type="dxa"/>
              <w:right w:w="108" w:type="dxa"/>
            </w:tcMar>
            <w:vAlign w:val="center"/>
          </w:tcPr>
          <w:p w14:paraId="59519840">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03E6A111">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28</w:t>
            </w:r>
          </w:p>
        </w:tc>
      </w:tr>
      <w:tr w14:paraId="1524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43A5D812">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43E8FBC1">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0717A3F0">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w:t>
            </w:r>
            <w:r>
              <w:rPr>
                <w:rFonts w:hint="eastAsia" w:ascii="Times New Roman" w:hAnsi="Times New Roman" w:eastAsia="仿宋" w:cs="Times New Roman"/>
                <w:color w:val="auto"/>
                <w:sz w:val="24"/>
                <w:szCs w:val="24"/>
              </w:rPr>
              <w:t>苯甲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吡唑酯悬浮剂</w:t>
            </w:r>
          </w:p>
        </w:tc>
        <w:tc>
          <w:tcPr>
            <w:tcW w:w="2153" w:type="dxa"/>
            <w:tcMar>
              <w:left w:w="108" w:type="dxa"/>
              <w:right w:w="108" w:type="dxa"/>
            </w:tcMar>
            <w:vAlign w:val="center"/>
          </w:tcPr>
          <w:p w14:paraId="43BBC25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20-30毫升/亩</w:t>
            </w:r>
          </w:p>
        </w:tc>
        <w:tc>
          <w:tcPr>
            <w:tcW w:w="1276" w:type="dxa"/>
            <w:tcMar>
              <w:left w:w="108" w:type="dxa"/>
              <w:right w:w="108" w:type="dxa"/>
            </w:tcMar>
            <w:vAlign w:val="center"/>
          </w:tcPr>
          <w:p w14:paraId="6D31A79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5F1FA4A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4226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192F3FC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纹枯病</w:t>
            </w:r>
          </w:p>
        </w:tc>
        <w:tc>
          <w:tcPr>
            <w:tcW w:w="1276" w:type="dxa"/>
            <w:tcMar>
              <w:left w:w="108" w:type="dxa"/>
              <w:right w:w="108" w:type="dxa"/>
            </w:tcMar>
            <w:vAlign w:val="center"/>
          </w:tcPr>
          <w:p w14:paraId="0CD8BA61">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7388D5F1">
            <w:pPr>
              <w:snapToGrid w:val="0"/>
              <w:jc w:val="left"/>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17%</w:t>
            </w:r>
            <w:r>
              <w:rPr>
                <w:rFonts w:hint="eastAsia" w:ascii="Times New Roman" w:hAnsi="Times New Roman" w:eastAsia="仿宋" w:cs="Times New Roman"/>
                <w:color w:val="auto"/>
                <w:sz w:val="24"/>
                <w:szCs w:val="24"/>
              </w:rPr>
              <w:t>唑醚</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氟环唑悬浮剂</w:t>
            </w:r>
          </w:p>
        </w:tc>
        <w:tc>
          <w:tcPr>
            <w:tcW w:w="2153" w:type="dxa"/>
            <w:shd w:val="clear" w:color="auto" w:fill="auto"/>
            <w:tcMar>
              <w:left w:w="108" w:type="dxa"/>
              <w:right w:w="108" w:type="dxa"/>
            </w:tcMar>
            <w:vAlign w:val="center"/>
          </w:tcPr>
          <w:p w14:paraId="2CA4C1FB">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50-60毫升/亩</w:t>
            </w:r>
          </w:p>
        </w:tc>
        <w:tc>
          <w:tcPr>
            <w:tcW w:w="1276" w:type="dxa"/>
            <w:shd w:val="clear" w:color="auto" w:fill="auto"/>
            <w:tcMar>
              <w:left w:w="108" w:type="dxa"/>
              <w:right w:w="108" w:type="dxa"/>
            </w:tcMar>
            <w:vAlign w:val="center"/>
          </w:tcPr>
          <w:p w14:paraId="501BD18F">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喷雾</w:t>
            </w:r>
          </w:p>
        </w:tc>
        <w:tc>
          <w:tcPr>
            <w:tcW w:w="1134" w:type="dxa"/>
            <w:shd w:val="clear" w:color="auto" w:fill="auto"/>
            <w:tcMar>
              <w:left w:w="108" w:type="dxa"/>
              <w:right w:w="108" w:type="dxa"/>
            </w:tcMar>
            <w:vAlign w:val="center"/>
          </w:tcPr>
          <w:p w14:paraId="1230926B">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28</w:t>
            </w:r>
          </w:p>
        </w:tc>
      </w:tr>
      <w:tr w14:paraId="3AA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7D382933">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57AE35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1596B5EE">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w:t>
            </w:r>
            <w:r>
              <w:rPr>
                <w:rFonts w:hint="eastAsia" w:ascii="Times New Roman" w:hAnsi="Times New Roman" w:eastAsia="仿宋" w:cs="Times New Roman"/>
                <w:color w:val="auto"/>
                <w:sz w:val="24"/>
                <w:szCs w:val="24"/>
              </w:rPr>
              <w:t>苯甲</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吡唑酯悬浮剂</w:t>
            </w:r>
          </w:p>
        </w:tc>
        <w:tc>
          <w:tcPr>
            <w:tcW w:w="2153" w:type="dxa"/>
            <w:shd w:val="clear" w:color="auto" w:fill="auto"/>
            <w:tcMar>
              <w:left w:w="108" w:type="dxa"/>
              <w:right w:w="108" w:type="dxa"/>
            </w:tcMar>
            <w:vAlign w:val="center"/>
          </w:tcPr>
          <w:p w14:paraId="159A0D1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20-30毫升/亩</w:t>
            </w:r>
          </w:p>
        </w:tc>
        <w:tc>
          <w:tcPr>
            <w:tcW w:w="1276" w:type="dxa"/>
            <w:shd w:val="clear" w:color="auto" w:fill="auto"/>
            <w:tcMar>
              <w:left w:w="108" w:type="dxa"/>
              <w:right w:w="108" w:type="dxa"/>
            </w:tcMar>
            <w:vAlign w:val="center"/>
          </w:tcPr>
          <w:p w14:paraId="13DBE01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shd w:val="clear" w:color="auto" w:fill="auto"/>
            <w:tcMar>
              <w:left w:w="108" w:type="dxa"/>
              <w:right w:w="108" w:type="dxa"/>
            </w:tcMar>
            <w:vAlign w:val="center"/>
          </w:tcPr>
          <w:p w14:paraId="771C9E0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w:t>
            </w:r>
          </w:p>
        </w:tc>
      </w:tr>
      <w:tr w14:paraId="6A2B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tcMar>
              <w:left w:w="108" w:type="dxa"/>
              <w:right w:w="108" w:type="dxa"/>
            </w:tcMar>
            <w:vAlign w:val="center"/>
          </w:tcPr>
          <w:p w14:paraId="642EDEA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病毒病</w:t>
            </w:r>
          </w:p>
        </w:tc>
        <w:tc>
          <w:tcPr>
            <w:tcW w:w="1276" w:type="dxa"/>
            <w:tcMar>
              <w:left w:w="108" w:type="dxa"/>
              <w:right w:w="108" w:type="dxa"/>
            </w:tcMar>
            <w:vAlign w:val="center"/>
          </w:tcPr>
          <w:p w14:paraId="22774631">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发病前或初期</w:t>
            </w:r>
          </w:p>
        </w:tc>
        <w:tc>
          <w:tcPr>
            <w:tcW w:w="2383" w:type="dxa"/>
            <w:tcMar>
              <w:left w:w="108" w:type="dxa"/>
              <w:right w:w="108" w:type="dxa"/>
            </w:tcMar>
            <w:vAlign w:val="center"/>
          </w:tcPr>
          <w:p w14:paraId="0F175326">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w:t>
            </w:r>
            <w:r>
              <w:rPr>
                <w:rFonts w:hint="eastAsia" w:ascii="Times New Roman" w:hAnsi="Times New Roman" w:eastAsia="仿宋" w:cs="Times New Roman"/>
                <w:color w:val="auto"/>
                <w:sz w:val="24"/>
                <w:szCs w:val="24"/>
              </w:rPr>
              <w:t>氨基寡糖素水剂</w:t>
            </w:r>
          </w:p>
        </w:tc>
        <w:tc>
          <w:tcPr>
            <w:tcW w:w="2153" w:type="dxa"/>
            <w:tcMar>
              <w:left w:w="108" w:type="dxa"/>
              <w:right w:w="108" w:type="dxa"/>
            </w:tcMar>
            <w:vAlign w:val="center"/>
          </w:tcPr>
          <w:p w14:paraId="1DE7350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125-245</w:t>
            </w:r>
            <w:r>
              <w:rPr>
                <w:rFonts w:hint="eastAsia" w:ascii="Times New Roman" w:hAnsi="Times New Roman" w:eastAsia="仿宋" w:cs="Times New Roman"/>
                <w:color w:val="auto"/>
                <w:sz w:val="24"/>
                <w:szCs w:val="24"/>
              </w:rPr>
              <w:t>毫升</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亩</w:t>
            </w:r>
          </w:p>
        </w:tc>
        <w:tc>
          <w:tcPr>
            <w:tcW w:w="1276" w:type="dxa"/>
            <w:tcMar>
              <w:left w:w="108" w:type="dxa"/>
              <w:right w:w="108" w:type="dxa"/>
            </w:tcMar>
            <w:vAlign w:val="center"/>
          </w:tcPr>
          <w:p w14:paraId="311B2ADD">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喷雾</w:t>
            </w:r>
          </w:p>
        </w:tc>
        <w:tc>
          <w:tcPr>
            <w:tcW w:w="1134" w:type="dxa"/>
            <w:tcMar>
              <w:left w:w="108" w:type="dxa"/>
              <w:right w:w="108" w:type="dxa"/>
            </w:tcMar>
            <w:vAlign w:val="center"/>
          </w:tcPr>
          <w:p w14:paraId="223984E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411A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6FAF63E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大豆胞囊线虫</w:t>
            </w:r>
          </w:p>
        </w:tc>
        <w:tc>
          <w:tcPr>
            <w:tcW w:w="1276" w:type="dxa"/>
            <w:tcMar>
              <w:left w:w="108" w:type="dxa"/>
              <w:right w:w="108" w:type="dxa"/>
            </w:tcMar>
            <w:vAlign w:val="center"/>
          </w:tcPr>
          <w:p w14:paraId="6AF313C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550C3318">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200</w:t>
            </w:r>
            <w:r>
              <w:rPr>
                <w:rFonts w:hint="eastAsia" w:ascii="Times New Roman" w:hAnsi="Times New Roman" w:eastAsia="仿宋" w:cs="Times New Roman"/>
                <w:color w:val="auto"/>
                <w:sz w:val="24"/>
                <w:szCs w:val="24"/>
              </w:rPr>
              <w:t>亿</w:t>
            </w:r>
            <w:r>
              <w:rPr>
                <w:rFonts w:ascii="Times New Roman" w:hAnsi="Times New Roman" w:eastAsia="仿宋" w:cs="Times New Roman"/>
                <w:color w:val="auto"/>
                <w:sz w:val="24"/>
                <w:szCs w:val="24"/>
              </w:rPr>
              <w:t>CFU/</w:t>
            </w:r>
            <w:r>
              <w:rPr>
                <w:rFonts w:hint="eastAsia" w:ascii="Times New Roman" w:hAnsi="Times New Roman" w:eastAsia="仿宋" w:cs="Times New Roman"/>
                <w:color w:val="auto"/>
                <w:sz w:val="24"/>
                <w:szCs w:val="24"/>
              </w:rPr>
              <w:t>克苏云金杆菌</w:t>
            </w:r>
            <w:r>
              <w:rPr>
                <w:rFonts w:ascii="Times New Roman" w:hAnsi="Times New Roman" w:eastAsia="仿宋" w:cs="Times New Roman"/>
                <w:color w:val="auto"/>
                <w:sz w:val="24"/>
                <w:szCs w:val="24"/>
              </w:rPr>
              <w:t>HAN055</w:t>
            </w:r>
            <w:r>
              <w:rPr>
                <w:rFonts w:hint="eastAsia" w:ascii="Times New Roman" w:hAnsi="Times New Roman" w:eastAsia="仿宋" w:cs="Times New Roman"/>
                <w:color w:val="auto"/>
                <w:sz w:val="24"/>
                <w:szCs w:val="24"/>
              </w:rPr>
              <w:t>可湿性粉剂</w:t>
            </w:r>
          </w:p>
        </w:tc>
        <w:tc>
          <w:tcPr>
            <w:tcW w:w="2153" w:type="dxa"/>
            <w:tcMar>
              <w:left w:w="108" w:type="dxa"/>
              <w:right w:w="108" w:type="dxa"/>
            </w:tcMar>
            <w:vAlign w:val="center"/>
          </w:tcPr>
          <w:p w14:paraId="7A792FA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3-5千克/亩</w:t>
            </w:r>
          </w:p>
        </w:tc>
        <w:tc>
          <w:tcPr>
            <w:tcW w:w="1276" w:type="dxa"/>
            <w:tcMar>
              <w:left w:w="108" w:type="dxa"/>
              <w:right w:w="108" w:type="dxa"/>
            </w:tcMar>
            <w:vAlign w:val="center"/>
          </w:tcPr>
          <w:p w14:paraId="3E5199D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土壤处理或沟施</w:t>
            </w:r>
          </w:p>
        </w:tc>
        <w:tc>
          <w:tcPr>
            <w:tcW w:w="1134" w:type="dxa"/>
            <w:tcMar>
              <w:left w:w="108" w:type="dxa"/>
              <w:right w:w="108" w:type="dxa"/>
            </w:tcMar>
            <w:vAlign w:val="center"/>
          </w:tcPr>
          <w:p w14:paraId="4333A51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2992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35808868">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68C441E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4B74B0E1">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2.9%</w:t>
            </w:r>
            <w:bookmarkStart w:id="3" w:name="OLE_LINK139"/>
            <w:bookmarkStart w:id="4" w:name="OLE_LINK140"/>
            <w:r>
              <w:rPr>
                <w:rFonts w:hint="eastAsia" w:ascii="Times New Roman" w:hAnsi="Times New Roman" w:eastAsia="仿宋" w:cs="Times New Roman"/>
                <w:color w:val="auto"/>
                <w:sz w:val="24"/>
                <w:szCs w:val="24"/>
              </w:rPr>
              <w:t>吡唑酯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精甲霜</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甲维</w:t>
            </w:r>
            <w:bookmarkEnd w:id="3"/>
            <w:bookmarkEnd w:id="4"/>
            <w:r>
              <w:rPr>
                <w:rFonts w:hint="eastAsia" w:ascii="Times New Roman" w:hAnsi="Times New Roman" w:eastAsia="仿宋" w:cs="Times New Roman"/>
                <w:color w:val="auto"/>
                <w:sz w:val="24"/>
                <w:szCs w:val="24"/>
              </w:rPr>
              <w:t>种子处理悬浮剂</w:t>
            </w:r>
          </w:p>
        </w:tc>
        <w:tc>
          <w:tcPr>
            <w:tcW w:w="2153" w:type="dxa"/>
            <w:tcMar>
              <w:left w:w="108" w:type="dxa"/>
              <w:right w:w="108" w:type="dxa"/>
            </w:tcMar>
            <w:vAlign w:val="center"/>
          </w:tcPr>
          <w:p w14:paraId="353DA2B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835-1110毫升/100千克种子</w:t>
            </w:r>
          </w:p>
        </w:tc>
        <w:tc>
          <w:tcPr>
            <w:tcW w:w="1276" w:type="dxa"/>
            <w:tcMar>
              <w:left w:w="108" w:type="dxa"/>
              <w:right w:w="108" w:type="dxa"/>
            </w:tcMar>
            <w:vAlign w:val="center"/>
          </w:tcPr>
          <w:p w14:paraId="1FAC0D9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种子包衣</w:t>
            </w:r>
          </w:p>
        </w:tc>
        <w:tc>
          <w:tcPr>
            <w:tcW w:w="1134" w:type="dxa"/>
            <w:tcMar>
              <w:left w:w="108" w:type="dxa"/>
              <w:right w:w="108" w:type="dxa"/>
            </w:tcMar>
            <w:vAlign w:val="center"/>
          </w:tcPr>
          <w:p w14:paraId="58424C9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7042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57E33B0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蚜虫</w:t>
            </w:r>
          </w:p>
        </w:tc>
        <w:tc>
          <w:tcPr>
            <w:tcW w:w="1276" w:type="dxa"/>
            <w:tcMar>
              <w:left w:w="108" w:type="dxa"/>
              <w:right w:w="108" w:type="dxa"/>
            </w:tcMar>
            <w:vAlign w:val="center"/>
          </w:tcPr>
          <w:p w14:paraId="5AD9E7B3">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点片发生期</w:t>
            </w:r>
          </w:p>
        </w:tc>
        <w:tc>
          <w:tcPr>
            <w:tcW w:w="2383" w:type="dxa"/>
            <w:tcMar>
              <w:left w:w="108" w:type="dxa"/>
              <w:right w:w="108" w:type="dxa"/>
            </w:tcMar>
            <w:vAlign w:val="center"/>
          </w:tcPr>
          <w:p w14:paraId="67A79A8E">
            <w:pPr>
              <w:snapToGrid w:val="0"/>
              <w:jc w:val="left"/>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4%</w:t>
            </w:r>
            <w:r>
              <w:rPr>
                <w:rFonts w:hint="eastAsia" w:ascii="Times New Roman" w:hAnsi="Times New Roman" w:eastAsia="仿宋" w:cs="Times New Roman"/>
                <w:color w:val="auto"/>
                <w:sz w:val="24"/>
                <w:szCs w:val="24"/>
              </w:rPr>
              <w:t>高氯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吡虫啉乳油</w:t>
            </w:r>
          </w:p>
        </w:tc>
        <w:tc>
          <w:tcPr>
            <w:tcW w:w="2153" w:type="dxa"/>
            <w:tcMar>
              <w:left w:w="108" w:type="dxa"/>
              <w:right w:w="108" w:type="dxa"/>
            </w:tcMar>
            <w:vAlign w:val="center"/>
          </w:tcPr>
          <w:p w14:paraId="705CA1B9">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30-40毫升/亩</w:t>
            </w:r>
          </w:p>
        </w:tc>
        <w:tc>
          <w:tcPr>
            <w:tcW w:w="1276" w:type="dxa"/>
            <w:tcMar>
              <w:left w:w="108" w:type="dxa"/>
              <w:right w:w="108" w:type="dxa"/>
            </w:tcMar>
            <w:vAlign w:val="center"/>
          </w:tcPr>
          <w:p w14:paraId="292ED1B7">
            <w:pPr>
              <w:snapToGrid w:val="0"/>
              <w:jc w:val="center"/>
              <w:rPr>
                <w:rFonts w:ascii="Times New Roman" w:hAnsi="Times New Roman" w:eastAsia="仿宋" w:cs="Times New Roman"/>
                <w:strike/>
                <w:color w:val="auto"/>
                <w:sz w:val="24"/>
                <w:szCs w:val="24"/>
              </w:rPr>
            </w:pPr>
            <w:r>
              <w:rPr>
                <w:rFonts w:hint="eastAsia" w:ascii="Times New Roman" w:hAnsi="Times New Roman" w:eastAsia="仿宋" w:cs="Times New Roman"/>
                <w:color w:val="auto"/>
                <w:sz w:val="24"/>
                <w:szCs w:val="24"/>
              </w:rPr>
              <w:t>喷雾</w:t>
            </w:r>
          </w:p>
        </w:tc>
        <w:tc>
          <w:tcPr>
            <w:tcW w:w="1134" w:type="dxa"/>
            <w:tcMar>
              <w:left w:w="108" w:type="dxa"/>
              <w:right w:w="108" w:type="dxa"/>
            </w:tcMar>
            <w:vAlign w:val="center"/>
          </w:tcPr>
          <w:p w14:paraId="60862DBB">
            <w:pPr>
              <w:snapToGrid w:val="0"/>
              <w:jc w:val="center"/>
              <w:rPr>
                <w:rFonts w:ascii="Times New Roman" w:hAnsi="Times New Roman" w:eastAsia="仿宋" w:cs="Times New Roman"/>
                <w:strike/>
                <w:color w:val="auto"/>
                <w:sz w:val="24"/>
                <w:szCs w:val="24"/>
              </w:rPr>
            </w:pPr>
            <w:r>
              <w:rPr>
                <w:rFonts w:ascii="Times New Roman" w:hAnsi="Times New Roman" w:eastAsia="仿宋" w:cs="Times New Roman"/>
                <w:color w:val="auto"/>
                <w:sz w:val="24"/>
                <w:szCs w:val="24"/>
              </w:rPr>
              <w:t>30</w:t>
            </w:r>
          </w:p>
        </w:tc>
      </w:tr>
      <w:tr w14:paraId="6B24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7AE9C6E7">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764C150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播种前</w:t>
            </w:r>
          </w:p>
        </w:tc>
        <w:tc>
          <w:tcPr>
            <w:tcW w:w="2383" w:type="dxa"/>
            <w:tcMar>
              <w:left w:w="108" w:type="dxa"/>
              <w:right w:w="108" w:type="dxa"/>
            </w:tcMar>
            <w:vAlign w:val="center"/>
          </w:tcPr>
          <w:p w14:paraId="4DBBD791">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w:t>
            </w:r>
            <w:r>
              <w:rPr>
                <w:rFonts w:hint="eastAsia" w:ascii="Times New Roman" w:hAnsi="Times New Roman" w:eastAsia="仿宋" w:cs="Times New Roman"/>
                <w:color w:val="auto"/>
                <w:sz w:val="24"/>
                <w:szCs w:val="24"/>
              </w:rPr>
              <w:t>噻虫嗪种子处理悬浮剂</w:t>
            </w:r>
          </w:p>
        </w:tc>
        <w:tc>
          <w:tcPr>
            <w:tcW w:w="2153" w:type="dxa"/>
            <w:tcMar>
              <w:left w:w="108" w:type="dxa"/>
              <w:right w:w="108" w:type="dxa"/>
            </w:tcMar>
            <w:vAlign w:val="center"/>
          </w:tcPr>
          <w:p w14:paraId="67C52EA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210-280毫升/100千克种子</w:t>
            </w:r>
          </w:p>
        </w:tc>
        <w:tc>
          <w:tcPr>
            <w:tcW w:w="1276" w:type="dxa"/>
            <w:tcMar>
              <w:left w:w="108" w:type="dxa"/>
              <w:right w:w="108" w:type="dxa"/>
            </w:tcMar>
            <w:vAlign w:val="center"/>
          </w:tcPr>
          <w:p w14:paraId="34B0EEC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拌种</w:t>
            </w:r>
          </w:p>
        </w:tc>
        <w:tc>
          <w:tcPr>
            <w:tcW w:w="1134" w:type="dxa"/>
            <w:tcMar>
              <w:left w:w="108" w:type="dxa"/>
              <w:right w:w="108" w:type="dxa"/>
            </w:tcMar>
            <w:vAlign w:val="center"/>
          </w:tcPr>
          <w:p w14:paraId="5EA4C92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3B10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tcMar>
              <w:left w:w="108" w:type="dxa"/>
              <w:right w:w="108" w:type="dxa"/>
            </w:tcMar>
            <w:vAlign w:val="center"/>
          </w:tcPr>
          <w:p w14:paraId="39041CF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食心虫/豆荚蛾</w:t>
            </w:r>
          </w:p>
        </w:tc>
        <w:tc>
          <w:tcPr>
            <w:tcW w:w="1276" w:type="dxa"/>
            <w:tcMar>
              <w:left w:w="108" w:type="dxa"/>
              <w:right w:w="108" w:type="dxa"/>
            </w:tcMar>
            <w:vAlign w:val="center"/>
          </w:tcPr>
          <w:p w14:paraId="764E81BF">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成虫产卵高峰期</w:t>
            </w:r>
          </w:p>
        </w:tc>
        <w:tc>
          <w:tcPr>
            <w:tcW w:w="2383" w:type="dxa"/>
            <w:tcMar>
              <w:left w:w="108" w:type="dxa"/>
              <w:right w:w="108" w:type="dxa"/>
            </w:tcMar>
            <w:vAlign w:val="center"/>
          </w:tcPr>
          <w:p w14:paraId="4ABE93C3">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w:t>
            </w:r>
            <w:bookmarkStart w:id="5" w:name="OLE_LINK116"/>
            <w:bookmarkStart w:id="6" w:name="OLE_LINK115"/>
            <w:r>
              <w:rPr>
                <w:rFonts w:hint="eastAsia" w:ascii="Times New Roman" w:hAnsi="Times New Roman" w:eastAsia="仿宋" w:cs="Times New Roman"/>
                <w:color w:val="auto"/>
                <w:sz w:val="24"/>
                <w:szCs w:val="24"/>
              </w:rPr>
              <w:t>氯虫苯甲酰胺</w:t>
            </w:r>
            <w:bookmarkEnd w:id="5"/>
            <w:bookmarkEnd w:id="6"/>
            <w:r>
              <w:rPr>
                <w:rFonts w:hint="eastAsia" w:ascii="Times New Roman" w:hAnsi="Times New Roman" w:eastAsia="仿宋" w:cs="Times New Roman"/>
                <w:color w:val="auto"/>
                <w:sz w:val="24"/>
                <w:szCs w:val="24"/>
              </w:rPr>
              <w:t>悬浮剂</w:t>
            </w:r>
          </w:p>
        </w:tc>
        <w:tc>
          <w:tcPr>
            <w:tcW w:w="2153" w:type="dxa"/>
            <w:tcMar>
              <w:left w:w="108" w:type="dxa"/>
              <w:right w:w="108" w:type="dxa"/>
            </w:tcMar>
            <w:vAlign w:val="center"/>
          </w:tcPr>
          <w:p w14:paraId="36B6D8D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6-12毫升/亩</w:t>
            </w:r>
          </w:p>
        </w:tc>
        <w:tc>
          <w:tcPr>
            <w:tcW w:w="1276" w:type="dxa"/>
            <w:tcMar>
              <w:left w:w="108" w:type="dxa"/>
              <w:right w:w="108" w:type="dxa"/>
            </w:tcMar>
            <w:vAlign w:val="center"/>
          </w:tcPr>
          <w:p w14:paraId="0B9AB59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2497895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7</w:t>
            </w:r>
          </w:p>
        </w:tc>
      </w:tr>
      <w:tr w14:paraId="0A5A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3C4A187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苜蓿夜蛾、甜菜夜蛾</w:t>
            </w:r>
          </w:p>
        </w:tc>
        <w:tc>
          <w:tcPr>
            <w:tcW w:w="1276" w:type="dxa"/>
            <w:tcMar>
              <w:left w:w="108" w:type="dxa"/>
              <w:right w:w="108" w:type="dxa"/>
            </w:tcMar>
            <w:vAlign w:val="center"/>
          </w:tcPr>
          <w:p w14:paraId="309BD857">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卵孵化盛期至</w:t>
            </w:r>
            <w:r>
              <w:rPr>
                <w:rFonts w:ascii="Times New Roman" w:hAnsi="Times New Roman" w:eastAsia="仿宋" w:cs="Times New Roman"/>
                <w:color w:val="auto"/>
                <w:sz w:val="24"/>
                <w:szCs w:val="24"/>
              </w:rPr>
              <w:t>3</w:t>
            </w:r>
            <w:r>
              <w:rPr>
                <w:rFonts w:hint="eastAsia" w:ascii="Times New Roman" w:hAnsi="Times New Roman" w:eastAsia="仿宋" w:cs="Times New Roman"/>
                <w:color w:val="auto"/>
                <w:sz w:val="24"/>
                <w:szCs w:val="24"/>
              </w:rPr>
              <w:t>龄前</w:t>
            </w:r>
          </w:p>
        </w:tc>
        <w:tc>
          <w:tcPr>
            <w:tcW w:w="2383" w:type="dxa"/>
            <w:tcMar>
              <w:left w:w="108" w:type="dxa"/>
              <w:right w:w="108" w:type="dxa"/>
            </w:tcMar>
            <w:vAlign w:val="center"/>
          </w:tcPr>
          <w:p w14:paraId="7FC33C10">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w:t>
            </w:r>
            <w:r>
              <w:rPr>
                <w:rFonts w:hint="eastAsia" w:ascii="Times New Roman" w:hAnsi="Times New Roman" w:eastAsia="仿宋" w:cs="Times New Roman"/>
                <w:color w:val="auto"/>
                <w:sz w:val="24"/>
                <w:szCs w:val="24"/>
              </w:rPr>
              <w:t>甲氨基阿维菌素苯甲酸盐悬浮剂</w:t>
            </w:r>
          </w:p>
        </w:tc>
        <w:tc>
          <w:tcPr>
            <w:tcW w:w="2153" w:type="dxa"/>
            <w:tcMar>
              <w:left w:w="108" w:type="dxa"/>
              <w:right w:w="108" w:type="dxa"/>
            </w:tcMar>
            <w:vAlign w:val="center"/>
          </w:tcPr>
          <w:p w14:paraId="3C3F877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3-5毫升/亩</w:t>
            </w:r>
          </w:p>
        </w:tc>
        <w:tc>
          <w:tcPr>
            <w:tcW w:w="1276" w:type="dxa"/>
            <w:tcMar>
              <w:left w:w="108" w:type="dxa"/>
              <w:right w:w="108" w:type="dxa"/>
            </w:tcMar>
            <w:vAlign w:val="center"/>
          </w:tcPr>
          <w:p w14:paraId="72FB11D9">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61C691C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178A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343F8A7E">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1DA5B5B">
            <w:pPr>
              <w:snapToGrid w:val="0"/>
              <w:jc w:val="center"/>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卵孵化盛期至</w:t>
            </w:r>
            <w:r>
              <w:rPr>
                <w:rFonts w:ascii="Times New Roman" w:hAnsi="Times New Roman" w:eastAsia="仿宋" w:cs="Times New Roman"/>
                <w:color w:val="auto"/>
                <w:sz w:val="24"/>
                <w:szCs w:val="24"/>
              </w:rPr>
              <w:t>3</w:t>
            </w:r>
            <w:r>
              <w:rPr>
                <w:rFonts w:hint="eastAsia" w:ascii="Times New Roman" w:hAnsi="Times New Roman" w:eastAsia="仿宋" w:cs="Times New Roman"/>
                <w:color w:val="auto"/>
                <w:sz w:val="24"/>
                <w:szCs w:val="24"/>
              </w:rPr>
              <w:t>龄前</w:t>
            </w:r>
          </w:p>
        </w:tc>
        <w:tc>
          <w:tcPr>
            <w:tcW w:w="2383" w:type="dxa"/>
            <w:tcMar>
              <w:left w:w="108" w:type="dxa"/>
              <w:right w:w="108" w:type="dxa"/>
            </w:tcMar>
            <w:vAlign w:val="center"/>
          </w:tcPr>
          <w:p w14:paraId="0C597620">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w:t>
            </w:r>
            <w:r>
              <w:rPr>
                <w:rFonts w:hint="eastAsia" w:ascii="Times New Roman" w:hAnsi="Times New Roman" w:eastAsia="仿宋" w:cs="Times New Roman"/>
                <w:color w:val="auto"/>
                <w:sz w:val="24"/>
                <w:szCs w:val="24"/>
              </w:rPr>
              <w:t>高氯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辛硫磷乳油</w:t>
            </w:r>
          </w:p>
        </w:tc>
        <w:tc>
          <w:tcPr>
            <w:tcW w:w="2153" w:type="dxa"/>
            <w:tcMar>
              <w:left w:w="108" w:type="dxa"/>
              <w:right w:w="108" w:type="dxa"/>
            </w:tcMar>
            <w:vAlign w:val="center"/>
          </w:tcPr>
          <w:p w14:paraId="6511990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80-100毫升/亩</w:t>
            </w:r>
          </w:p>
        </w:tc>
        <w:tc>
          <w:tcPr>
            <w:tcW w:w="1276" w:type="dxa"/>
            <w:tcMar>
              <w:left w:w="108" w:type="dxa"/>
              <w:right w:w="108" w:type="dxa"/>
            </w:tcMar>
            <w:vAlign w:val="center"/>
          </w:tcPr>
          <w:p w14:paraId="6BD96FD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6154BE2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77F8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56ACE4E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豆天蛾</w:t>
            </w:r>
          </w:p>
        </w:tc>
        <w:tc>
          <w:tcPr>
            <w:tcW w:w="1276" w:type="dxa"/>
            <w:tcMar>
              <w:left w:w="108" w:type="dxa"/>
              <w:right w:w="108" w:type="dxa"/>
            </w:tcMar>
            <w:vAlign w:val="center"/>
          </w:tcPr>
          <w:p w14:paraId="10ADBC2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w:t>
            </w:r>
            <w:r>
              <w:rPr>
                <w:rFonts w:hint="eastAsia" w:ascii="Times New Roman" w:hAnsi="Times New Roman" w:eastAsia="仿宋" w:cs="Times New Roman"/>
                <w:color w:val="auto"/>
                <w:sz w:val="24"/>
                <w:szCs w:val="24"/>
              </w:rPr>
              <w:t>龄前</w:t>
            </w:r>
          </w:p>
        </w:tc>
        <w:tc>
          <w:tcPr>
            <w:tcW w:w="2383" w:type="dxa"/>
            <w:tcMar>
              <w:left w:w="108" w:type="dxa"/>
              <w:right w:w="108" w:type="dxa"/>
            </w:tcMar>
            <w:vAlign w:val="center"/>
          </w:tcPr>
          <w:p w14:paraId="3F336D22">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16000IU/</w:t>
            </w:r>
            <w:r>
              <w:rPr>
                <w:rFonts w:hint="eastAsia" w:ascii="Times New Roman" w:hAnsi="Times New Roman" w:eastAsia="仿宋" w:cs="Times New Roman"/>
                <w:color w:val="auto"/>
                <w:sz w:val="24"/>
                <w:szCs w:val="24"/>
              </w:rPr>
              <w:t>毫克苏云金杆菌可湿性粉剂</w:t>
            </w:r>
          </w:p>
        </w:tc>
        <w:tc>
          <w:tcPr>
            <w:tcW w:w="2153" w:type="dxa"/>
            <w:tcMar>
              <w:left w:w="108" w:type="dxa"/>
              <w:right w:w="108" w:type="dxa"/>
            </w:tcMar>
            <w:vAlign w:val="center"/>
          </w:tcPr>
          <w:p w14:paraId="69B99FF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100-150毫升/亩</w:t>
            </w:r>
          </w:p>
        </w:tc>
        <w:tc>
          <w:tcPr>
            <w:tcW w:w="1276" w:type="dxa"/>
            <w:tcMar>
              <w:left w:w="108" w:type="dxa"/>
              <w:right w:w="108" w:type="dxa"/>
            </w:tcMar>
            <w:vAlign w:val="center"/>
          </w:tcPr>
          <w:p w14:paraId="56E0D24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tcMar>
              <w:left w:w="108" w:type="dxa"/>
              <w:right w:w="108" w:type="dxa"/>
            </w:tcMar>
            <w:vAlign w:val="center"/>
          </w:tcPr>
          <w:p w14:paraId="62D6E79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06B6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31FD7A46">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DC73A4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w:t>
            </w:r>
            <w:r>
              <w:rPr>
                <w:rFonts w:hint="eastAsia" w:ascii="Times New Roman" w:hAnsi="Times New Roman" w:eastAsia="仿宋" w:cs="Times New Roman"/>
                <w:color w:val="auto"/>
                <w:sz w:val="24"/>
                <w:szCs w:val="24"/>
              </w:rPr>
              <w:t>龄前</w:t>
            </w:r>
          </w:p>
        </w:tc>
        <w:tc>
          <w:tcPr>
            <w:tcW w:w="2383" w:type="dxa"/>
            <w:tcMar>
              <w:left w:w="108" w:type="dxa"/>
              <w:right w:w="108" w:type="dxa"/>
            </w:tcMar>
            <w:vAlign w:val="center"/>
          </w:tcPr>
          <w:p w14:paraId="6A4DBA38">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w:t>
            </w:r>
            <w:r>
              <w:rPr>
                <w:rFonts w:hint="eastAsia" w:ascii="Times New Roman" w:hAnsi="Times New Roman" w:eastAsia="仿宋" w:cs="Times New Roman"/>
                <w:color w:val="auto"/>
                <w:sz w:val="24"/>
                <w:szCs w:val="24"/>
              </w:rPr>
              <w:t>甲氨基阿维菌素苯甲酸盐悬浮剂</w:t>
            </w:r>
          </w:p>
        </w:tc>
        <w:tc>
          <w:tcPr>
            <w:tcW w:w="2153" w:type="dxa"/>
            <w:shd w:val="clear" w:color="auto" w:fill="auto"/>
            <w:tcMar>
              <w:left w:w="108" w:type="dxa"/>
              <w:right w:w="108" w:type="dxa"/>
            </w:tcMar>
            <w:vAlign w:val="center"/>
          </w:tcPr>
          <w:p w14:paraId="15E4E0C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3-5毫升/亩</w:t>
            </w:r>
          </w:p>
        </w:tc>
        <w:tc>
          <w:tcPr>
            <w:tcW w:w="1276" w:type="dxa"/>
            <w:shd w:val="clear" w:color="auto" w:fill="auto"/>
            <w:tcMar>
              <w:left w:w="108" w:type="dxa"/>
              <w:right w:w="108" w:type="dxa"/>
            </w:tcMar>
            <w:vAlign w:val="center"/>
          </w:tcPr>
          <w:p w14:paraId="723B506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shd w:val="clear" w:color="auto" w:fill="auto"/>
            <w:tcMar>
              <w:left w:w="108" w:type="dxa"/>
              <w:right w:w="108" w:type="dxa"/>
            </w:tcMar>
            <w:vAlign w:val="center"/>
          </w:tcPr>
          <w:p w14:paraId="04157B8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1D97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2A0242C5">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1F8F2FB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w:t>
            </w:r>
            <w:r>
              <w:rPr>
                <w:rFonts w:hint="eastAsia" w:ascii="Times New Roman" w:hAnsi="Times New Roman" w:eastAsia="仿宋" w:cs="Times New Roman"/>
                <w:color w:val="auto"/>
                <w:sz w:val="24"/>
                <w:szCs w:val="24"/>
              </w:rPr>
              <w:t>龄前</w:t>
            </w:r>
          </w:p>
        </w:tc>
        <w:tc>
          <w:tcPr>
            <w:tcW w:w="2383" w:type="dxa"/>
            <w:tcMar>
              <w:left w:w="108" w:type="dxa"/>
              <w:right w:w="108" w:type="dxa"/>
            </w:tcMar>
            <w:vAlign w:val="center"/>
          </w:tcPr>
          <w:p w14:paraId="7CBA84BB">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20%</w:t>
            </w:r>
            <w:r>
              <w:rPr>
                <w:rFonts w:hint="eastAsia" w:ascii="Times New Roman" w:hAnsi="Times New Roman" w:eastAsia="仿宋" w:cs="Times New Roman"/>
                <w:color w:val="auto"/>
                <w:sz w:val="24"/>
                <w:szCs w:val="24"/>
              </w:rPr>
              <w:t>高氯</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辛硫磷乳油</w:t>
            </w:r>
          </w:p>
        </w:tc>
        <w:tc>
          <w:tcPr>
            <w:tcW w:w="2153" w:type="dxa"/>
            <w:shd w:val="clear" w:color="auto" w:fill="auto"/>
            <w:tcMar>
              <w:left w:w="108" w:type="dxa"/>
              <w:right w:w="108" w:type="dxa"/>
            </w:tcMar>
            <w:vAlign w:val="center"/>
          </w:tcPr>
          <w:p w14:paraId="37A7968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80-100毫升/亩</w:t>
            </w:r>
          </w:p>
        </w:tc>
        <w:tc>
          <w:tcPr>
            <w:tcW w:w="1276" w:type="dxa"/>
            <w:shd w:val="clear" w:color="auto" w:fill="auto"/>
            <w:tcMar>
              <w:left w:w="108" w:type="dxa"/>
              <w:right w:w="108" w:type="dxa"/>
            </w:tcMar>
            <w:vAlign w:val="center"/>
          </w:tcPr>
          <w:p w14:paraId="64F7123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喷雾</w:t>
            </w:r>
          </w:p>
        </w:tc>
        <w:tc>
          <w:tcPr>
            <w:tcW w:w="1134" w:type="dxa"/>
            <w:shd w:val="clear" w:color="auto" w:fill="auto"/>
            <w:tcMar>
              <w:left w:w="108" w:type="dxa"/>
              <w:right w:w="108" w:type="dxa"/>
            </w:tcMar>
            <w:vAlign w:val="center"/>
          </w:tcPr>
          <w:p w14:paraId="419B574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14</w:t>
            </w:r>
          </w:p>
        </w:tc>
      </w:tr>
      <w:tr w14:paraId="38F3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4473398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一年生杂草</w:t>
            </w:r>
          </w:p>
        </w:tc>
        <w:tc>
          <w:tcPr>
            <w:tcW w:w="1276" w:type="dxa"/>
            <w:tcMar>
              <w:left w:w="108" w:type="dxa"/>
              <w:right w:w="108" w:type="dxa"/>
            </w:tcMar>
            <w:vAlign w:val="center"/>
          </w:tcPr>
          <w:p w14:paraId="0C28C4E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播后苗前</w:t>
            </w:r>
          </w:p>
        </w:tc>
        <w:tc>
          <w:tcPr>
            <w:tcW w:w="2383" w:type="dxa"/>
            <w:tcMar>
              <w:left w:w="108" w:type="dxa"/>
              <w:right w:w="108" w:type="dxa"/>
            </w:tcMar>
            <w:vAlign w:val="center"/>
          </w:tcPr>
          <w:p w14:paraId="58C8A00A">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960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升精异丙甲草胺乳油</w:t>
            </w:r>
          </w:p>
        </w:tc>
        <w:tc>
          <w:tcPr>
            <w:tcW w:w="2153" w:type="dxa"/>
            <w:tcMar>
              <w:left w:w="108" w:type="dxa"/>
              <w:right w:w="108" w:type="dxa"/>
            </w:tcMar>
            <w:vAlign w:val="center"/>
          </w:tcPr>
          <w:p w14:paraId="777C8D0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60-85毫升/亩</w:t>
            </w:r>
          </w:p>
        </w:tc>
        <w:tc>
          <w:tcPr>
            <w:tcW w:w="1276" w:type="dxa"/>
            <w:tcMar>
              <w:left w:w="108" w:type="dxa"/>
              <w:right w:w="108" w:type="dxa"/>
            </w:tcMar>
            <w:vAlign w:val="center"/>
          </w:tcPr>
          <w:p w14:paraId="06465DF4">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土壤喷雾</w:t>
            </w:r>
          </w:p>
        </w:tc>
        <w:tc>
          <w:tcPr>
            <w:tcW w:w="1134" w:type="dxa"/>
            <w:tcMar>
              <w:left w:w="108" w:type="dxa"/>
              <w:right w:w="108" w:type="dxa"/>
            </w:tcMar>
            <w:vAlign w:val="center"/>
          </w:tcPr>
          <w:p w14:paraId="402E556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46FE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5289AFD7">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6EF87CA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播后苗前</w:t>
            </w:r>
          </w:p>
        </w:tc>
        <w:tc>
          <w:tcPr>
            <w:tcW w:w="2383" w:type="dxa"/>
            <w:tcMar>
              <w:left w:w="108" w:type="dxa"/>
              <w:right w:w="108" w:type="dxa"/>
            </w:tcMar>
            <w:vAlign w:val="center"/>
          </w:tcPr>
          <w:p w14:paraId="2CA1B6FA">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75%</w:t>
            </w:r>
            <w:r>
              <w:rPr>
                <w:rFonts w:hint="eastAsia" w:ascii="Times New Roman" w:hAnsi="Times New Roman" w:eastAsia="仿宋" w:cs="Times New Roman"/>
                <w:color w:val="auto"/>
                <w:sz w:val="24"/>
                <w:szCs w:val="24"/>
              </w:rPr>
              <w:t>噻吩磺隆水分散粒剂</w:t>
            </w:r>
          </w:p>
        </w:tc>
        <w:tc>
          <w:tcPr>
            <w:tcW w:w="2153" w:type="dxa"/>
            <w:tcMar>
              <w:left w:w="108" w:type="dxa"/>
              <w:right w:w="108" w:type="dxa"/>
            </w:tcMar>
            <w:vAlign w:val="center"/>
          </w:tcPr>
          <w:p w14:paraId="50E6BDE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2-3克/亩</w:t>
            </w:r>
          </w:p>
        </w:tc>
        <w:tc>
          <w:tcPr>
            <w:tcW w:w="1276" w:type="dxa"/>
            <w:tcMar>
              <w:left w:w="108" w:type="dxa"/>
              <w:right w:w="108" w:type="dxa"/>
            </w:tcMar>
            <w:vAlign w:val="center"/>
          </w:tcPr>
          <w:p w14:paraId="3A910B6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土壤喷雾</w:t>
            </w:r>
          </w:p>
        </w:tc>
        <w:tc>
          <w:tcPr>
            <w:tcW w:w="1134" w:type="dxa"/>
            <w:tcMar>
              <w:left w:w="108" w:type="dxa"/>
              <w:right w:w="108" w:type="dxa"/>
            </w:tcMar>
            <w:vAlign w:val="center"/>
          </w:tcPr>
          <w:p w14:paraId="5FF3651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3348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5D0E8EF9">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437D2A5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播后苗前</w:t>
            </w:r>
          </w:p>
        </w:tc>
        <w:tc>
          <w:tcPr>
            <w:tcW w:w="2383" w:type="dxa"/>
            <w:tcMar>
              <w:left w:w="108" w:type="dxa"/>
              <w:right w:w="108" w:type="dxa"/>
            </w:tcMar>
            <w:vAlign w:val="center"/>
          </w:tcPr>
          <w:p w14:paraId="71AEECF4">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45%</w:t>
            </w:r>
            <w:r>
              <w:rPr>
                <w:rFonts w:hint="eastAsia" w:ascii="Times New Roman" w:hAnsi="Times New Roman" w:eastAsia="仿宋" w:cs="Times New Roman"/>
                <w:color w:val="auto"/>
                <w:sz w:val="24"/>
                <w:szCs w:val="24"/>
              </w:rPr>
              <w:t>二甲戊灵微囊悬浮剂</w:t>
            </w:r>
          </w:p>
        </w:tc>
        <w:tc>
          <w:tcPr>
            <w:tcW w:w="2153" w:type="dxa"/>
            <w:tcMar>
              <w:left w:w="108" w:type="dxa"/>
              <w:right w:w="108" w:type="dxa"/>
            </w:tcMar>
            <w:vAlign w:val="center"/>
          </w:tcPr>
          <w:p w14:paraId="23747B75">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东北170-200毫升/亩，其它130-150毫升/亩</w:t>
            </w:r>
          </w:p>
        </w:tc>
        <w:tc>
          <w:tcPr>
            <w:tcW w:w="1276" w:type="dxa"/>
            <w:tcMar>
              <w:left w:w="108" w:type="dxa"/>
              <w:right w:w="108" w:type="dxa"/>
            </w:tcMar>
            <w:vAlign w:val="center"/>
          </w:tcPr>
          <w:p w14:paraId="662CCD4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土壤喷雾</w:t>
            </w:r>
          </w:p>
        </w:tc>
        <w:tc>
          <w:tcPr>
            <w:tcW w:w="1134" w:type="dxa"/>
            <w:tcMar>
              <w:left w:w="108" w:type="dxa"/>
              <w:right w:w="108" w:type="dxa"/>
            </w:tcMar>
            <w:vAlign w:val="center"/>
          </w:tcPr>
          <w:p w14:paraId="2D1E2B4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58C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7E86FA83">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7C49D8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播后苗前</w:t>
            </w:r>
          </w:p>
        </w:tc>
        <w:tc>
          <w:tcPr>
            <w:tcW w:w="2383" w:type="dxa"/>
            <w:tcMar>
              <w:left w:w="108" w:type="dxa"/>
              <w:right w:w="108" w:type="dxa"/>
            </w:tcMar>
            <w:vAlign w:val="center"/>
          </w:tcPr>
          <w:p w14:paraId="2A447AB9">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48%</w:t>
            </w:r>
            <w:r>
              <w:rPr>
                <w:rFonts w:hint="eastAsia" w:ascii="Times New Roman" w:hAnsi="Times New Roman" w:eastAsia="仿宋" w:cs="Times New Roman"/>
                <w:color w:val="auto"/>
                <w:sz w:val="24"/>
                <w:szCs w:val="24"/>
              </w:rPr>
              <w:t>丙炔氟草胺悬浮剂</w:t>
            </w:r>
          </w:p>
        </w:tc>
        <w:tc>
          <w:tcPr>
            <w:tcW w:w="2153" w:type="dxa"/>
            <w:tcMar>
              <w:left w:w="108" w:type="dxa"/>
              <w:right w:w="108" w:type="dxa"/>
            </w:tcMar>
            <w:vAlign w:val="center"/>
          </w:tcPr>
          <w:p w14:paraId="3649A50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8-12毫升/亩</w:t>
            </w:r>
          </w:p>
        </w:tc>
        <w:tc>
          <w:tcPr>
            <w:tcW w:w="1276" w:type="dxa"/>
            <w:tcMar>
              <w:left w:w="108" w:type="dxa"/>
              <w:right w:w="108" w:type="dxa"/>
            </w:tcMar>
            <w:vAlign w:val="center"/>
          </w:tcPr>
          <w:p w14:paraId="6C7540D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土壤喷雾</w:t>
            </w:r>
          </w:p>
        </w:tc>
        <w:tc>
          <w:tcPr>
            <w:tcW w:w="1134" w:type="dxa"/>
            <w:tcMar>
              <w:left w:w="108" w:type="dxa"/>
              <w:right w:w="108" w:type="dxa"/>
            </w:tcMar>
            <w:vAlign w:val="center"/>
          </w:tcPr>
          <w:p w14:paraId="4858801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2A80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668A006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一年生禾本科杂草</w:t>
            </w:r>
          </w:p>
        </w:tc>
        <w:tc>
          <w:tcPr>
            <w:tcW w:w="1276" w:type="dxa"/>
            <w:tcMar>
              <w:left w:w="108" w:type="dxa"/>
              <w:right w:w="108" w:type="dxa"/>
            </w:tcMar>
            <w:vAlign w:val="center"/>
          </w:tcPr>
          <w:p w14:paraId="20B1CFE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杂草3-5叶期</w:t>
            </w:r>
          </w:p>
        </w:tc>
        <w:tc>
          <w:tcPr>
            <w:tcW w:w="2383" w:type="dxa"/>
            <w:tcMar>
              <w:left w:w="108" w:type="dxa"/>
              <w:right w:w="108" w:type="dxa"/>
            </w:tcMar>
            <w:vAlign w:val="center"/>
          </w:tcPr>
          <w:p w14:paraId="335AF690">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150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升精吡氟禾草灵乳油</w:t>
            </w:r>
          </w:p>
        </w:tc>
        <w:tc>
          <w:tcPr>
            <w:tcW w:w="2153" w:type="dxa"/>
            <w:tcMar>
              <w:left w:w="108" w:type="dxa"/>
              <w:right w:w="108" w:type="dxa"/>
            </w:tcMar>
            <w:vAlign w:val="center"/>
          </w:tcPr>
          <w:p w14:paraId="2496DFB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50-70毫升/亩</w:t>
            </w:r>
          </w:p>
        </w:tc>
        <w:tc>
          <w:tcPr>
            <w:tcW w:w="1276" w:type="dxa"/>
            <w:tcMar>
              <w:left w:w="108" w:type="dxa"/>
              <w:right w:w="108" w:type="dxa"/>
            </w:tcMar>
            <w:vAlign w:val="center"/>
          </w:tcPr>
          <w:p w14:paraId="2214111B">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茎叶喷雾</w:t>
            </w:r>
          </w:p>
        </w:tc>
        <w:tc>
          <w:tcPr>
            <w:tcW w:w="1134" w:type="dxa"/>
            <w:tcMar>
              <w:left w:w="108" w:type="dxa"/>
              <w:right w:w="108" w:type="dxa"/>
            </w:tcMar>
            <w:vAlign w:val="center"/>
          </w:tcPr>
          <w:p w14:paraId="1EA5A066">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3356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156B37BB">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32754762">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杂草3-5叶期</w:t>
            </w:r>
          </w:p>
        </w:tc>
        <w:tc>
          <w:tcPr>
            <w:tcW w:w="2383" w:type="dxa"/>
            <w:tcMar>
              <w:left w:w="108" w:type="dxa"/>
              <w:right w:w="108" w:type="dxa"/>
            </w:tcMar>
            <w:vAlign w:val="center"/>
          </w:tcPr>
          <w:p w14:paraId="5699EAF8">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10.8%</w:t>
            </w:r>
            <w:bookmarkStart w:id="7" w:name="OLE_LINK157"/>
            <w:bookmarkStart w:id="8" w:name="OLE_LINK158"/>
            <w:r>
              <w:rPr>
                <w:rFonts w:hint="eastAsia" w:ascii="Times New Roman" w:hAnsi="Times New Roman" w:eastAsia="仿宋" w:cs="Times New Roman"/>
                <w:color w:val="auto"/>
                <w:sz w:val="24"/>
                <w:szCs w:val="24"/>
              </w:rPr>
              <w:t>精喹禾灵</w:t>
            </w:r>
            <w:bookmarkEnd w:id="7"/>
            <w:bookmarkEnd w:id="8"/>
            <w:r>
              <w:rPr>
                <w:rFonts w:hint="eastAsia" w:ascii="Times New Roman" w:hAnsi="Times New Roman" w:eastAsia="仿宋" w:cs="Times New Roman"/>
                <w:color w:val="auto"/>
                <w:sz w:val="24"/>
                <w:szCs w:val="24"/>
              </w:rPr>
              <w:t>乳油</w:t>
            </w:r>
          </w:p>
        </w:tc>
        <w:tc>
          <w:tcPr>
            <w:tcW w:w="2153" w:type="dxa"/>
            <w:tcMar>
              <w:left w:w="108" w:type="dxa"/>
              <w:right w:w="108" w:type="dxa"/>
            </w:tcMar>
            <w:vAlign w:val="center"/>
          </w:tcPr>
          <w:p w14:paraId="2DBB006A">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40-50毫升/亩</w:t>
            </w:r>
          </w:p>
        </w:tc>
        <w:tc>
          <w:tcPr>
            <w:tcW w:w="1276" w:type="dxa"/>
            <w:tcMar>
              <w:left w:w="108" w:type="dxa"/>
              <w:right w:w="108" w:type="dxa"/>
            </w:tcMar>
            <w:vAlign w:val="center"/>
          </w:tcPr>
          <w:p w14:paraId="51F3AB4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茎叶喷雾</w:t>
            </w:r>
          </w:p>
        </w:tc>
        <w:tc>
          <w:tcPr>
            <w:tcW w:w="1134" w:type="dxa"/>
            <w:tcMar>
              <w:left w:w="108" w:type="dxa"/>
              <w:right w:w="108" w:type="dxa"/>
            </w:tcMar>
            <w:vAlign w:val="center"/>
          </w:tcPr>
          <w:p w14:paraId="2977E30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4313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4866FCCD">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14744E1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杂草3-5叶期</w:t>
            </w:r>
          </w:p>
        </w:tc>
        <w:tc>
          <w:tcPr>
            <w:tcW w:w="2383" w:type="dxa"/>
            <w:tcMar>
              <w:left w:w="108" w:type="dxa"/>
              <w:right w:w="108" w:type="dxa"/>
            </w:tcMar>
            <w:vAlign w:val="center"/>
          </w:tcPr>
          <w:p w14:paraId="2F6FCDE3">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12.5%</w:t>
            </w:r>
            <w:r>
              <w:rPr>
                <w:rFonts w:hint="eastAsia" w:ascii="Times New Roman" w:hAnsi="Times New Roman" w:eastAsia="仿宋" w:cs="Times New Roman"/>
                <w:color w:val="auto"/>
                <w:sz w:val="24"/>
                <w:szCs w:val="24"/>
              </w:rPr>
              <w:t>烯禾啶乳油</w:t>
            </w:r>
          </w:p>
        </w:tc>
        <w:tc>
          <w:tcPr>
            <w:tcW w:w="2153" w:type="dxa"/>
            <w:tcMar>
              <w:left w:w="108" w:type="dxa"/>
              <w:right w:w="108" w:type="dxa"/>
            </w:tcMar>
            <w:vAlign w:val="center"/>
          </w:tcPr>
          <w:p w14:paraId="0A77B9EC">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66.4-100毫升/亩</w:t>
            </w:r>
          </w:p>
        </w:tc>
        <w:tc>
          <w:tcPr>
            <w:tcW w:w="1276" w:type="dxa"/>
            <w:tcMar>
              <w:left w:w="108" w:type="dxa"/>
              <w:right w:w="108" w:type="dxa"/>
            </w:tcMar>
            <w:vAlign w:val="center"/>
          </w:tcPr>
          <w:p w14:paraId="054370C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茎叶喷雾</w:t>
            </w:r>
          </w:p>
        </w:tc>
        <w:tc>
          <w:tcPr>
            <w:tcW w:w="1134" w:type="dxa"/>
            <w:tcMar>
              <w:left w:w="108" w:type="dxa"/>
              <w:right w:w="108" w:type="dxa"/>
            </w:tcMar>
            <w:vAlign w:val="center"/>
          </w:tcPr>
          <w:p w14:paraId="7F94D2CE">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56CE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restart"/>
            <w:tcMar>
              <w:left w:w="108" w:type="dxa"/>
              <w:right w:w="108" w:type="dxa"/>
            </w:tcMar>
            <w:vAlign w:val="center"/>
          </w:tcPr>
          <w:p w14:paraId="1309E14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阔叶杂草</w:t>
            </w:r>
          </w:p>
        </w:tc>
        <w:tc>
          <w:tcPr>
            <w:tcW w:w="1276" w:type="dxa"/>
            <w:tcMar>
              <w:left w:w="108" w:type="dxa"/>
              <w:right w:w="108" w:type="dxa"/>
            </w:tcMar>
            <w:vAlign w:val="center"/>
          </w:tcPr>
          <w:p w14:paraId="337DDA27">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杂草2-4叶期</w:t>
            </w:r>
          </w:p>
        </w:tc>
        <w:tc>
          <w:tcPr>
            <w:tcW w:w="2383" w:type="dxa"/>
            <w:tcMar>
              <w:left w:w="108" w:type="dxa"/>
              <w:right w:w="108" w:type="dxa"/>
            </w:tcMar>
            <w:vAlign w:val="center"/>
          </w:tcPr>
          <w:p w14:paraId="4742F294">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480</w:t>
            </w:r>
            <w:r>
              <w:rPr>
                <w:rFonts w:hint="eastAsia" w:ascii="Times New Roman" w:hAnsi="Times New Roman" w:eastAsia="仿宋" w:cs="Times New Roman"/>
                <w:color w:val="auto"/>
                <w:sz w:val="24"/>
                <w:szCs w:val="24"/>
              </w:rPr>
              <w:t>克</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rPr>
              <w:t>升灭草松水剂</w:t>
            </w:r>
          </w:p>
        </w:tc>
        <w:tc>
          <w:tcPr>
            <w:tcW w:w="2153" w:type="dxa"/>
            <w:tcMar>
              <w:left w:w="108" w:type="dxa"/>
              <w:right w:w="108" w:type="dxa"/>
            </w:tcMar>
            <w:vAlign w:val="center"/>
          </w:tcPr>
          <w:p w14:paraId="6B61EE11">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150-200毫升/亩</w:t>
            </w:r>
          </w:p>
        </w:tc>
        <w:tc>
          <w:tcPr>
            <w:tcW w:w="1276" w:type="dxa"/>
            <w:tcMar>
              <w:left w:w="108" w:type="dxa"/>
              <w:right w:w="108" w:type="dxa"/>
            </w:tcMar>
            <w:vAlign w:val="center"/>
          </w:tcPr>
          <w:p w14:paraId="6DDA3F5D">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茎叶喷雾</w:t>
            </w:r>
          </w:p>
        </w:tc>
        <w:tc>
          <w:tcPr>
            <w:tcW w:w="1134" w:type="dxa"/>
            <w:tcMar>
              <w:left w:w="108" w:type="dxa"/>
              <w:right w:w="108" w:type="dxa"/>
            </w:tcMar>
            <w:vAlign w:val="center"/>
          </w:tcPr>
          <w:p w14:paraId="6E3D476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1A13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1206" w:type="dxa"/>
            <w:vMerge w:val="continue"/>
            <w:tcMar>
              <w:left w:w="108" w:type="dxa"/>
              <w:right w:w="108" w:type="dxa"/>
            </w:tcMar>
            <w:vAlign w:val="center"/>
          </w:tcPr>
          <w:p w14:paraId="60D0375E">
            <w:pPr>
              <w:snapToGrid w:val="0"/>
              <w:jc w:val="center"/>
              <w:rPr>
                <w:rFonts w:ascii="Times New Roman" w:hAnsi="Times New Roman" w:eastAsia="仿宋" w:cs="Times New Roman"/>
                <w:color w:val="auto"/>
                <w:sz w:val="24"/>
                <w:szCs w:val="24"/>
              </w:rPr>
            </w:pPr>
          </w:p>
        </w:tc>
        <w:tc>
          <w:tcPr>
            <w:tcW w:w="1276" w:type="dxa"/>
            <w:tcMar>
              <w:left w:w="108" w:type="dxa"/>
              <w:right w:w="108" w:type="dxa"/>
            </w:tcMar>
            <w:vAlign w:val="center"/>
          </w:tcPr>
          <w:p w14:paraId="7E51B32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大豆1-2片复叶期，杂草2-4叶期</w:t>
            </w:r>
          </w:p>
        </w:tc>
        <w:tc>
          <w:tcPr>
            <w:tcW w:w="2383" w:type="dxa"/>
            <w:tcMar>
              <w:left w:w="108" w:type="dxa"/>
              <w:right w:w="108" w:type="dxa"/>
            </w:tcMar>
            <w:vAlign w:val="center"/>
          </w:tcPr>
          <w:p w14:paraId="230CBEE1">
            <w:pPr>
              <w:snapToGrid w:val="0"/>
              <w:jc w:val="left"/>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24%</w:t>
            </w:r>
            <w:r>
              <w:rPr>
                <w:rFonts w:hint="eastAsia" w:ascii="Times New Roman" w:hAnsi="Times New Roman" w:eastAsia="仿宋" w:cs="Times New Roman"/>
                <w:color w:val="auto"/>
                <w:sz w:val="24"/>
                <w:szCs w:val="24"/>
              </w:rPr>
              <w:t>乳氟禾草灵乳油</w:t>
            </w:r>
          </w:p>
        </w:tc>
        <w:tc>
          <w:tcPr>
            <w:tcW w:w="2153" w:type="dxa"/>
            <w:tcMar>
              <w:left w:w="108" w:type="dxa"/>
              <w:right w:w="108" w:type="dxa"/>
            </w:tcMar>
            <w:vAlign w:val="center"/>
          </w:tcPr>
          <w:p w14:paraId="54258698">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30-40毫升/亩</w:t>
            </w:r>
          </w:p>
        </w:tc>
        <w:tc>
          <w:tcPr>
            <w:tcW w:w="1276" w:type="dxa"/>
            <w:tcMar>
              <w:left w:w="108" w:type="dxa"/>
              <w:right w:w="108" w:type="dxa"/>
            </w:tcMar>
            <w:vAlign w:val="center"/>
          </w:tcPr>
          <w:p w14:paraId="75D00013">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茎叶喷雾</w:t>
            </w:r>
          </w:p>
        </w:tc>
        <w:tc>
          <w:tcPr>
            <w:tcW w:w="1134" w:type="dxa"/>
            <w:tcMar>
              <w:left w:w="108" w:type="dxa"/>
              <w:right w:w="108" w:type="dxa"/>
            </w:tcMar>
            <w:vAlign w:val="center"/>
          </w:tcPr>
          <w:p w14:paraId="4F1C60C0">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w:t>
            </w:r>
          </w:p>
        </w:tc>
      </w:tr>
      <w:tr w14:paraId="3AA6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cantSplit/>
          <w:jc w:val="center"/>
        </w:trPr>
        <w:tc>
          <w:tcPr>
            <w:tcW w:w="9428" w:type="dxa"/>
            <w:gridSpan w:val="6"/>
            <w:tcMar>
              <w:left w:w="108" w:type="dxa"/>
              <w:right w:w="108" w:type="dxa"/>
            </w:tcMar>
            <w:vAlign w:val="center"/>
          </w:tcPr>
          <w:p w14:paraId="4BE76DC6">
            <w:pPr>
              <w:snapToGrid w:val="0"/>
              <w:jc w:val="left"/>
              <w:rPr>
                <w:rFonts w:ascii="Times New Roman" w:hAnsi="Times New Roman" w:eastAsia="仿宋" w:cs="Times New Roman"/>
                <w:color w:val="auto"/>
                <w:sz w:val="24"/>
                <w:szCs w:val="24"/>
              </w:rPr>
            </w:pPr>
            <w:r>
              <w:rPr>
                <w:rFonts w:hint="eastAsia" w:ascii="仿宋" w:hAnsi="仿宋" w:eastAsia="仿宋" w:cs="仿宋"/>
                <w:color w:val="auto"/>
                <w:kern w:val="0"/>
                <w:sz w:val="24"/>
                <w:szCs w:val="24"/>
              </w:rPr>
              <w:t>注：</w:t>
            </w:r>
            <w:r>
              <w:rPr>
                <w:rFonts w:hint="eastAsia" w:ascii="仿宋" w:hAnsi="仿宋" w:eastAsia="仿宋" w:cs="仿宋"/>
                <w:color w:val="auto"/>
                <w:sz w:val="24"/>
                <w:szCs w:val="24"/>
              </w:rPr>
              <w:t>农药使用以最新版本NY/T 393《绿色食品 农药使用准则》和农药登记信息的规定为准。</w:t>
            </w:r>
          </w:p>
        </w:tc>
      </w:tr>
    </w:tbl>
    <w:p w14:paraId="7B1BDC51">
      <w:pPr>
        <w:adjustRightInd w:val="0"/>
        <w:snapToGrid w:val="0"/>
        <w:rPr>
          <w:rFonts w:ascii="黑体" w:hAnsi="黑体" w:eastAsia="黑体"/>
          <w:color w:val="auto"/>
          <w:sz w:val="15"/>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41A1C">
    <w:pPr>
      <w:jc w:val="right"/>
      <w:rPr>
        <w:rFonts w:hint="default" w:ascii="黑体" w:hAnsi="黑体" w:eastAsia="黑体"/>
        <w:szCs w:val="21"/>
        <w:lang w:val="en-US" w:eastAsia="zh-CN"/>
      </w:rPr>
    </w:pPr>
    <w:r>
      <w:rPr>
        <w:rFonts w:hint="eastAsia" w:ascii="黑体" w:hAnsi="黑体" w:eastAsia="黑体"/>
        <w:szCs w:val="21"/>
      </w:rPr>
      <w:t>T/CGFA</w:t>
    </w:r>
    <w:r>
      <w:rPr>
        <w:rFonts w:hint="eastAsia" w:ascii="黑体" w:hAnsi="黑体" w:eastAsia="黑体"/>
        <w:szCs w:val="21"/>
        <w:lang w:val="en-US" w:eastAsia="zh-CN"/>
      </w:rPr>
      <w:t>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2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0F9"/>
    <w:rsid w:val="0004540C"/>
    <w:rsid w:val="000E7F73"/>
    <w:rsid w:val="001013B8"/>
    <w:rsid w:val="00167E00"/>
    <w:rsid w:val="00184E5C"/>
    <w:rsid w:val="001A6AB4"/>
    <w:rsid w:val="001F7E4A"/>
    <w:rsid w:val="00211749"/>
    <w:rsid w:val="00221E93"/>
    <w:rsid w:val="00272BBF"/>
    <w:rsid w:val="002B7D3F"/>
    <w:rsid w:val="002C22C2"/>
    <w:rsid w:val="003025CE"/>
    <w:rsid w:val="00323CAE"/>
    <w:rsid w:val="00380396"/>
    <w:rsid w:val="003C385A"/>
    <w:rsid w:val="003D42E2"/>
    <w:rsid w:val="003F1F68"/>
    <w:rsid w:val="00413BD5"/>
    <w:rsid w:val="0047357B"/>
    <w:rsid w:val="00487DCC"/>
    <w:rsid w:val="004C517D"/>
    <w:rsid w:val="00500138"/>
    <w:rsid w:val="00503376"/>
    <w:rsid w:val="005123DE"/>
    <w:rsid w:val="00550656"/>
    <w:rsid w:val="00561350"/>
    <w:rsid w:val="005613F2"/>
    <w:rsid w:val="005A4DC7"/>
    <w:rsid w:val="0060494B"/>
    <w:rsid w:val="0062693E"/>
    <w:rsid w:val="00630E24"/>
    <w:rsid w:val="00685EA9"/>
    <w:rsid w:val="006B251A"/>
    <w:rsid w:val="006D24F9"/>
    <w:rsid w:val="006E0E7F"/>
    <w:rsid w:val="006F22C7"/>
    <w:rsid w:val="006F5340"/>
    <w:rsid w:val="00713CC6"/>
    <w:rsid w:val="00714900"/>
    <w:rsid w:val="0074527F"/>
    <w:rsid w:val="00775345"/>
    <w:rsid w:val="00783B78"/>
    <w:rsid w:val="008436D3"/>
    <w:rsid w:val="008E34E8"/>
    <w:rsid w:val="008F1F6B"/>
    <w:rsid w:val="00904089"/>
    <w:rsid w:val="0092492A"/>
    <w:rsid w:val="009378B1"/>
    <w:rsid w:val="009548DB"/>
    <w:rsid w:val="009E7A93"/>
    <w:rsid w:val="00A27E0E"/>
    <w:rsid w:val="00A67B7D"/>
    <w:rsid w:val="00AB5AE1"/>
    <w:rsid w:val="00AC386B"/>
    <w:rsid w:val="00B10096"/>
    <w:rsid w:val="00B1402C"/>
    <w:rsid w:val="00BA20F5"/>
    <w:rsid w:val="00BC6AD2"/>
    <w:rsid w:val="00C0578E"/>
    <w:rsid w:val="00C126C0"/>
    <w:rsid w:val="00C86853"/>
    <w:rsid w:val="00CE0A16"/>
    <w:rsid w:val="00CE0F5D"/>
    <w:rsid w:val="00CF76F6"/>
    <w:rsid w:val="00D23DA7"/>
    <w:rsid w:val="00D24F94"/>
    <w:rsid w:val="00D5795F"/>
    <w:rsid w:val="00E04DAF"/>
    <w:rsid w:val="00E4022C"/>
    <w:rsid w:val="00E719DE"/>
    <w:rsid w:val="00E72A55"/>
    <w:rsid w:val="00E9181A"/>
    <w:rsid w:val="00F00520"/>
    <w:rsid w:val="00F25705"/>
    <w:rsid w:val="00F747A1"/>
    <w:rsid w:val="00F92361"/>
    <w:rsid w:val="00FD550A"/>
    <w:rsid w:val="00FE5DBC"/>
    <w:rsid w:val="00FE6ECC"/>
    <w:rsid w:val="02ED7EC0"/>
    <w:rsid w:val="03231B33"/>
    <w:rsid w:val="039667A9"/>
    <w:rsid w:val="0575419C"/>
    <w:rsid w:val="05791EDF"/>
    <w:rsid w:val="06CE70B8"/>
    <w:rsid w:val="07261BF2"/>
    <w:rsid w:val="07660241"/>
    <w:rsid w:val="07D653C6"/>
    <w:rsid w:val="091F2D9D"/>
    <w:rsid w:val="0A412F2D"/>
    <w:rsid w:val="0A5B7E05"/>
    <w:rsid w:val="0A7D421F"/>
    <w:rsid w:val="0AA01CBB"/>
    <w:rsid w:val="0ABB6AF5"/>
    <w:rsid w:val="0D002EE5"/>
    <w:rsid w:val="0D8E6743"/>
    <w:rsid w:val="0DDD6D83"/>
    <w:rsid w:val="0EF44384"/>
    <w:rsid w:val="0F977B31"/>
    <w:rsid w:val="0F9A4F2B"/>
    <w:rsid w:val="0FAF717F"/>
    <w:rsid w:val="103B4960"/>
    <w:rsid w:val="12C14EC5"/>
    <w:rsid w:val="13675A6C"/>
    <w:rsid w:val="14F72CD4"/>
    <w:rsid w:val="16A550C0"/>
    <w:rsid w:val="17681DB3"/>
    <w:rsid w:val="17984446"/>
    <w:rsid w:val="183DAA4C"/>
    <w:rsid w:val="19045B0B"/>
    <w:rsid w:val="1A50725A"/>
    <w:rsid w:val="1ABB0818"/>
    <w:rsid w:val="1BAA0BEC"/>
    <w:rsid w:val="1D1F47AD"/>
    <w:rsid w:val="1DFF6DC9"/>
    <w:rsid w:val="1DFFD838"/>
    <w:rsid w:val="1E0210EB"/>
    <w:rsid w:val="1E1278FC"/>
    <w:rsid w:val="1E791675"/>
    <w:rsid w:val="1EA26CAD"/>
    <w:rsid w:val="1EE73F05"/>
    <w:rsid w:val="1FF02946"/>
    <w:rsid w:val="21521B0A"/>
    <w:rsid w:val="21B300CF"/>
    <w:rsid w:val="21C7063D"/>
    <w:rsid w:val="221C5C74"/>
    <w:rsid w:val="224C47AB"/>
    <w:rsid w:val="23B24AE2"/>
    <w:rsid w:val="244A1145"/>
    <w:rsid w:val="25F80BEF"/>
    <w:rsid w:val="26C30CEC"/>
    <w:rsid w:val="26F45411"/>
    <w:rsid w:val="271D1824"/>
    <w:rsid w:val="28153891"/>
    <w:rsid w:val="2A3873C3"/>
    <w:rsid w:val="2A7E3970"/>
    <w:rsid w:val="2AA84549"/>
    <w:rsid w:val="2B0F4649"/>
    <w:rsid w:val="2C8608B9"/>
    <w:rsid w:val="2CE61358"/>
    <w:rsid w:val="2D214A86"/>
    <w:rsid w:val="2DCF003E"/>
    <w:rsid w:val="2EC658E5"/>
    <w:rsid w:val="2FADB4B6"/>
    <w:rsid w:val="2FD302BA"/>
    <w:rsid w:val="2FDE6C5E"/>
    <w:rsid w:val="2FE73D65"/>
    <w:rsid w:val="30896BCA"/>
    <w:rsid w:val="317433D6"/>
    <w:rsid w:val="3293788C"/>
    <w:rsid w:val="32D6521C"/>
    <w:rsid w:val="35C80195"/>
    <w:rsid w:val="361D1FA0"/>
    <w:rsid w:val="36592B9B"/>
    <w:rsid w:val="365FD9CA"/>
    <w:rsid w:val="36B9AB1B"/>
    <w:rsid w:val="37797999"/>
    <w:rsid w:val="3787198A"/>
    <w:rsid w:val="380134EA"/>
    <w:rsid w:val="39916AF0"/>
    <w:rsid w:val="3A15327D"/>
    <w:rsid w:val="3ACE7FFB"/>
    <w:rsid w:val="3AFA0DF0"/>
    <w:rsid w:val="3B381919"/>
    <w:rsid w:val="3B4C7172"/>
    <w:rsid w:val="3CF5F1F8"/>
    <w:rsid w:val="3CFC58ED"/>
    <w:rsid w:val="3D587AC8"/>
    <w:rsid w:val="3D7824A0"/>
    <w:rsid w:val="3D7F663E"/>
    <w:rsid w:val="3D923A95"/>
    <w:rsid w:val="3F4A7E6C"/>
    <w:rsid w:val="3FAC01DF"/>
    <w:rsid w:val="3FF1653A"/>
    <w:rsid w:val="400D3374"/>
    <w:rsid w:val="41BB4A1A"/>
    <w:rsid w:val="42FBCBB9"/>
    <w:rsid w:val="43AC2EA4"/>
    <w:rsid w:val="45E701C3"/>
    <w:rsid w:val="46963997"/>
    <w:rsid w:val="46ED7A5B"/>
    <w:rsid w:val="47FF747A"/>
    <w:rsid w:val="48092B19"/>
    <w:rsid w:val="4823125B"/>
    <w:rsid w:val="4867383D"/>
    <w:rsid w:val="493A2D00"/>
    <w:rsid w:val="49F57FBD"/>
    <w:rsid w:val="4A4C6847"/>
    <w:rsid w:val="4A5BC11F"/>
    <w:rsid w:val="4A9106FD"/>
    <w:rsid w:val="4A9C318A"/>
    <w:rsid w:val="4B005883"/>
    <w:rsid w:val="4B83273C"/>
    <w:rsid w:val="4B944949"/>
    <w:rsid w:val="4BAFFDE8"/>
    <w:rsid w:val="4BE8259F"/>
    <w:rsid w:val="4CC528E0"/>
    <w:rsid w:val="4F42290E"/>
    <w:rsid w:val="4FE55C29"/>
    <w:rsid w:val="508A00C9"/>
    <w:rsid w:val="50EB11F0"/>
    <w:rsid w:val="50EC48E0"/>
    <w:rsid w:val="53071EA5"/>
    <w:rsid w:val="530C3017"/>
    <w:rsid w:val="53837A1F"/>
    <w:rsid w:val="53DC22CC"/>
    <w:rsid w:val="54AB7A0C"/>
    <w:rsid w:val="55052414"/>
    <w:rsid w:val="55717AA9"/>
    <w:rsid w:val="558772CD"/>
    <w:rsid w:val="56BC6B02"/>
    <w:rsid w:val="56C1680E"/>
    <w:rsid w:val="591E5852"/>
    <w:rsid w:val="59633BAD"/>
    <w:rsid w:val="59BF8EB3"/>
    <w:rsid w:val="5A1D3D5C"/>
    <w:rsid w:val="5A865DA5"/>
    <w:rsid w:val="5B5C4D58"/>
    <w:rsid w:val="5B9B13DC"/>
    <w:rsid w:val="5BD82630"/>
    <w:rsid w:val="5DBA5211"/>
    <w:rsid w:val="5E7303EE"/>
    <w:rsid w:val="5ED13367"/>
    <w:rsid w:val="5F0059FA"/>
    <w:rsid w:val="5F78AF6A"/>
    <w:rsid w:val="5F7F5CA2"/>
    <w:rsid w:val="5FAA0D80"/>
    <w:rsid w:val="5FD3F372"/>
    <w:rsid w:val="6363332A"/>
    <w:rsid w:val="63B514A9"/>
    <w:rsid w:val="63FA5A12"/>
    <w:rsid w:val="647F14AE"/>
    <w:rsid w:val="64AFC870"/>
    <w:rsid w:val="64DF4A2F"/>
    <w:rsid w:val="67932FBB"/>
    <w:rsid w:val="6832131A"/>
    <w:rsid w:val="697B45FB"/>
    <w:rsid w:val="6A745C1A"/>
    <w:rsid w:val="6BD13FFF"/>
    <w:rsid w:val="6C066D46"/>
    <w:rsid w:val="6C3F7360"/>
    <w:rsid w:val="6CBA7B30"/>
    <w:rsid w:val="6D12171A"/>
    <w:rsid w:val="6D3276C6"/>
    <w:rsid w:val="6DE035C6"/>
    <w:rsid w:val="6E239581"/>
    <w:rsid w:val="6EB34DAC"/>
    <w:rsid w:val="6F075F96"/>
    <w:rsid w:val="70D309FA"/>
    <w:rsid w:val="712B39A2"/>
    <w:rsid w:val="71436346"/>
    <w:rsid w:val="721B4BCD"/>
    <w:rsid w:val="72271C00"/>
    <w:rsid w:val="72C139C6"/>
    <w:rsid w:val="74CE598A"/>
    <w:rsid w:val="74F1000A"/>
    <w:rsid w:val="75834F63"/>
    <w:rsid w:val="75FAF343"/>
    <w:rsid w:val="75FDC8BD"/>
    <w:rsid w:val="76BB02F6"/>
    <w:rsid w:val="775A7F45"/>
    <w:rsid w:val="778C23F0"/>
    <w:rsid w:val="7796177E"/>
    <w:rsid w:val="77DA4BE2"/>
    <w:rsid w:val="77E999C4"/>
    <w:rsid w:val="783764D9"/>
    <w:rsid w:val="784339AA"/>
    <w:rsid w:val="787B0173"/>
    <w:rsid w:val="79030169"/>
    <w:rsid w:val="794E5E28"/>
    <w:rsid w:val="79F2235B"/>
    <w:rsid w:val="7A1F463C"/>
    <w:rsid w:val="7A2111EE"/>
    <w:rsid w:val="7BBB4A7E"/>
    <w:rsid w:val="7C3BFF57"/>
    <w:rsid w:val="7CBE2D25"/>
    <w:rsid w:val="7CE3278B"/>
    <w:rsid w:val="7D494CE4"/>
    <w:rsid w:val="7DED1B13"/>
    <w:rsid w:val="7EA5921F"/>
    <w:rsid w:val="7EFDAF7F"/>
    <w:rsid w:val="7F6FE8CB"/>
    <w:rsid w:val="7F784DCC"/>
    <w:rsid w:val="7FA793B3"/>
    <w:rsid w:val="7FB1091F"/>
    <w:rsid w:val="7FBB354B"/>
    <w:rsid w:val="7FDD63E5"/>
    <w:rsid w:val="7FE7A615"/>
    <w:rsid w:val="7FFEA3A2"/>
    <w:rsid w:val="7FFFE449"/>
    <w:rsid w:val="8F7AF771"/>
    <w:rsid w:val="B3DDAA18"/>
    <w:rsid w:val="B3FBB8F9"/>
    <w:rsid w:val="B4EDF50A"/>
    <w:rsid w:val="B7BB4388"/>
    <w:rsid w:val="B7DF34E6"/>
    <w:rsid w:val="BB773852"/>
    <w:rsid w:val="BF7FC9F2"/>
    <w:rsid w:val="BF9F4FDF"/>
    <w:rsid w:val="BFDFDCF2"/>
    <w:rsid w:val="D7B9F673"/>
    <w:rsid w:val="DB7C8924"/>
    <w:rsid w:val="DFE61A3A"/>
    <w:rsid w:val="E43FAE25"/>
    <w:rsid w:val="E6CB3E89"/>
    <w:rsid w:val="E9FBB08E"/>
    <w:rsid w:val="EB6E3283"/>
    <w:rsid w:val="EBD96606"/>
    <w:rsid w:val="EEFEF943"/>
    <w:rsid w:val="EFEFF842"/>
    <w:rsid w:val="F2DDC9AB"/>
    <w:rsid w:val="F60BF489"/>
    <w:rsid w:val="F67BEDC6"/>
    <w:rsid w:val="F6EF9556"/>
    <w:rsid w:val="F7A33F24"/>
    <w:rsid w:val="F7D5055A"/>
    <w:rsid w:val="F9D72354"/>
    <w:rsid w:val="FAF72563"/>
    <w:rsid w:val="FBFFA9BA"/>
    <w:rsid w:val="FDFAD14F"/>
    <w:rsid w:val="FE27CE5A"/>
    <w:rsid w:val="FEF6E8DE"/>
    <w:rsid w:val="FF7B0E14"/>
    <w:rsid w:val="FF9B50AB"/>
    <w:rsid w:val="FFBFB189"/>
    <w:rsid w:val="FFEBFADD"/>
    <w:rsid w:val="FFEF2182"/>
    <w:rsid w:val="FFEFE24A"/>
    <w:rsid w:val="FFF16704"/>
    <w:rsid w:val="FFFD3114"/>
    <w:rsid w:val="FFFFE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adjustRightInd w:val="0"/>
      <w:snapToGrid w:val="0"/>
      <w:spacing w:line="360" w:lineRule="auto"/>
      <w:outlineLvl w:val="0"/>
    </w:pPr>
    <w:rPr>
      <w:rFonts w:ascii="Times New Roman" w:hAnsi="Times New Roman" w:eastAsia="黑体"/>
      <w:bCs/>
      <w:kern w:val="44"/>
      <w:sz w:val="32"/>
      <w:szCs w:val="44"/>
    </w:rPr>
  </w:style>
  <w:style w:type="paragraph" w:styleId="3">
    <w:name w:val="heading 4"/>
    <w:basedOn w:val="1"/>
    <w:link w:val="2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jc w:val="left"/>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日期 Char"/>
    <w:basedOn w:val="11"/>
    <w:link w:val="5"/>
    <w:semiHidden/>
    <w:qFormat/>
    <w:uiPriority w:val="99"/>
    <w:rPr>
      <w:kern w:val="2"/>
      <w:sz w:val="21"/>
      <w:szCs w:val="22"/>
    </w:rPr>
  </w:style>
  <w:style w:type="character" w:customStyle="1" w:styleId="15">
    <w:name w:val="批注框文本 Char"/>
    <w:basedOn w:val="11"/>
    <w:link w:val="6"/>
    <w:semiHidden/>
    <w:qFormat/>
    <w:uiPriority w:val="99"/>
    <w:rPr>
      <w:kern w:val="2"/>
      <w:sz w:val="18"/>
      <w:szCs w:val="18"/>
    </w:rPr>
  </w:style>
  <w:style w:type="paragraph" w:customStyle="1" w:styleId="16">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7">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18">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19">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0">
    <w:name w:val="封面标准英文名称"/>
    <w:basedOn w:val="1"/>
    <w:autoRedefine/>
    <w:qFormat/>
    <w:uiPriority w:val="0"/>
    <w:pPr>
      <w:framePr w:w="9639" w:h="6974" w:hRule="exact" w:wrap="around" w:vAnchor="page" w:hAnchor="page" w:x="1419" w:y="6408"/>
      <w:tabs>
        <w:tab w:val="left" w:pos="9639"/>
      </w:tabs>
      <w:spacing w:before="410" w:line="360" w:lineRule="exact"/>
      <w:jc w:val="center"/>
      <w:textAlignment w:val="bottom"/>
    </w:pPr>
    <w:rPr>
      <w:rFonts w:hint="eastAsia" w:ascii="Times New Roman" w:hAnsi="Times New Roman" w:eastAsia="黑体" w:cs="Times New Roman"/>
      <w:kern w:val="0"/>
      <w:sz w:val="28"/>
      <w:szCs w:val="20"/>
    </w:rPr>
  </w:style>
  <w:style w:type="paragraph" w:customStyle="1" w:styleId="21">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22">
    <w:name w:val="章标题"/>
    <w:next w:val="23"/>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批注文字 Char"/>
    <w:basedOn w:val="11"/>
    <w:link w:val="4"/>
    <w:qFormat/>
    <w:uiPriority w:val="99"/>
    <w:rPr>
      <w:kern w:val="2"/>
      <w:sz w:val="21"/>
      <w:szCs w:val="22"/>
    </w:rPr>
  </w:style>
  <w:style w:type="paragraph" w:customStyle="1" w:styleId="25">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hAnsi="Times New Roman" w:eastAsia="黑体" w:cs="Times New Roman"/>
      <w:sz w:val="52"/>
      <w:szCs w:val="52"/>
      <w:lang w:val="en-US" w:eastAsia="zh-CN" w:bidi="ar-SA"/>
    </w:rPr>
  </w:style>
  <w:style w:type="character" w:customStyle="1" w:styleId="26">
    <w:name w:val="页眉 Char"/>
    <w:basedOn w:val="11"/>
    <w:link w:val="8"/>
    <w:qFormat/>
    <w:uiPriority w:val="99"/>
    <w:rPr>
      <w:kern w:val="2"/>
      <w:sz w:val="18"/>
      <w:szCs w:val="18"/>
    </w:rPr>
  </w:style>
  <w:style w:type="character" w:customStyle="1" w:styleId="27">
    <w:name w:val="页脚 Char"/>
    <w:basedOn w:val="11"/>
    <w:link w:val="7"/>
    <w:qFormat/>
    <w:uiPriority w:val="99"/>
    <w:rPr>
      <w:kern w:val="2"/>
      <w:sz w:val="18"/>
      <w:szCs w:val="18"/>
    </w:rPr>
  </w:style>
  <w:style w:type="character" w:customStyle="1" w:styleId="28">
    <w:name w:val="标题 4 Char"/>
    <w:basedOn w:val="11"/>
    <w:link w:val="3"/>
    <w:qFormat/>
    <w:uiPriority w:val="9"/>
    <w:rPr>
      <w:rFonts w:ascii="宋体" w:hAnsi="宋体" w:eastAsia="宋体" w:cs="宋体"/>
      <w:b/>
      <w:bCs/>
      <w:sz w:val="24"/>
      <w:szCs w:val="24"/>
    </w:rPr>
  </w:style>
  <w:style w:type="paragraph" w:customStyle="1" w:styleId="29">
    <w:name w:val="列出段落1"/>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6CFE001B6B4908A49B97A3D0411F16"/>
        <w:style w:val=""/>
        <w:category>
          <w:name w:val="常规"/>
          <w:gallery w:val="placeholder"/>
        </w:category>
        <w:types>
          <w:type w:val="bbPlcHdr"/>
        </w:types>
        <w:behaviors>
          <w:behavior w:val="content"/>
        </w:behaviors>
        <w:description w:val=""/>
        <w:guid w:val="{15D72E0A-2F03-4946-8825-834B87BE927C}"/>
      </w:docPartPr>
      <w:docPartBody>
        <w:p w14:paraId="2E4BA228">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F7C23"/>
    <w:rsid w:val="00026576"/>
    <w:rsid w:val="000E40C3"/>
    <w:rsid w:val="000F3BEE"/>
    <w:rsid w:val="00173C2F"/>
    <w:rsid w:val="00183D10"/>
    <w:rsid w:val="00202063"/>
    <w:rsid w:val="002623E9"/>
    <w:rsid w:val="00674FC1"/>
    <w:rsid w:val="006A6A08"/>
    <w:rsid w:val="0079460D"/>
    <w:rsid w:val="007A2B89"/>
    <w:rsid w:val="00856058"/>
    <w:rsid w:val="008E46D8"/>
    <w:rsid w:val="00944A92"/>
    <w:rsid w:val="00963C2B"/>
    <w:rsid w:val="009A2461"/>
    <w:rsid w:val="00AF7C23"/>
    <w:rsid w:val="00C22B8A"/>
    <w:rsid w:val="00C94A38"/>
    <w:rsid w:val="00D820D2"/>
    <w:rsid w:val="00DE11C6"/>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36CFE001B6B4908A49B97A3D0411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C4AF84626E924989A5A6681A72CCE2A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4741</Words>
  <Characters>5606</Characters>
  <Lines>34</Lines>
  <Paragraphs>9</Paragraphs>
  <TotalTime>5</TotalTime>
  <ScaleCrop>false</ScaleCrop>
  <LinksUpToDate>false</LinksUpToDate>
  <CharactersWithSpaces>5786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2024-10-20T02:59:00Z</dcterms:created>
  <dc:creator>志成</dc:creator>
  <cp:lastModifiedBy>房正</cp:lastModifiedBy>
  <dcterms:modified xsi:type="dcterms:W3CDTF">2026-04-15T02:09:52Z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480FBF80C0F84FD697BE088FE4DA9635_13</vt:lpwstr>
  </property>
  <property fmtid="{D5CDD505-2E9C-101B-9397-08002B2CF9AE}" pid="4" name="KSOTemplateDocerSaveRecord">
    <vt:lpwstr>eyJoZGlkIjoiMGUyOGZlMzdlZWEyMGFlYzc0ZWE1MGJlZjA4NmY3NTMiLCJ1c2VySWQiOiIyNzM3NDc2MDMifQ==</vt:lpwstr>
  </property>
</Properties>
</file>