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9FD95">
      <w:pPr>
        <w:pStyle w:val="21"/>
        <w:framePr w:wrap="around" w:x="1470" w:y="3511"/>
        <w:rPr>
          <w:rFonts w:hint="default"/>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T/CGFA***-2026</w:t>
      </w:r>
    </w:p>
    <w:p w14:paraId="63206711">
      <w:pPr>
        <w:pStyle w:val="21"/>
        <w:framePr w:wrap="around" w:x="1470" w:y="3511"/>
        <w:rPr>
          <w:rFonts w:hint="default"/>
          <w14:shadow w14:blurRad="50800" w14:dist="38100" w14:dir="2700000" w14:sx="100000" w14:sy="100000" w14:kx="0" w14:ky="0" w14:algn="tl">
            <w14:srgbClr w14:val="000000">
              <w14:alpha w14:val="60000"/>
            </w14:srgbClr>
          </w14:shadow>
        </w:rPr>
      </w:pPr>
    </w:p>
    <w:tbl>
      <w:tblPr>
        <w:tblStyle w:val="11"/>
        <w:tblW w:w="10482" w:type="dxa"/>
        <w:tblInd w:w="-2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
        <w:gridCol w:w="4860"/>
        <w:gridCol w:w="5508"/>
        <w:gridCol w:w="114"/>
      </w:tblGrid>
      <w:tr w14:paraId="58A8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7" w:type="dxa"/>
        </w:trPr>
        <w:tc>
          <w:tcPr>
            <w:tcW w:w="9741" w:type="dxa"/>
            <w:gridSpan w:val="3"/>
            <w:tcBorders>
              <w:top w:val="single" w:color="auto" w:sz="8" w:space="0"/>
            </w:tcBorders>
          </w:tcPr>
          <w:p w14:paraId="60417BD8">
            <w:pPr>
              <w:pStyle w:val="18"/>
              <w:framePr w:wrap="around"/>
              <w:rPr>
                <w:rFonts w:hint="default"/>
                <w:sz w:val="10"/>
              </w:rPr>
            </w:pPr>
          </w:p>
        </w:tc>
      </w:tr>
      <w:tr w14:paraId="16E2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7" w:type="dxa"/>
          <w:trHeight w:val="411" w:hRule="exact"/>
        </w:trPr>
        <w:tc>
          <w:tcPr>
            <w:tcW w:w="4974" w:type="dxa"/>
            <w:gridSpan w:val="2"/>
            <w:tcBorders>
              <w:bottom w:val="single" w:color="auto" w:sz="8" w:space="0"/>
            </w:tcBorders>
            <w:tcMar>
              <w:left w:w="57" w:type="dxa"/>
              <w:bottom w:w="28" w:type="dxa"/>
            </w:tcMar>
          </w:tcPr>
          <w:p w14:paraId="0F825BEC">
            <w:pPr>
              <w:pStyle w:val="19"/>
              <w:framePr w:wrap="around"/>
              <w:rPr>
                <w:rFonts w:hint="default"/>
              </w:rPr>
            </w:pPr>
            <w:r>
              <w:t xml:space="preserve">2026 </w:t>
            </w:r>
            <w:r>
              <w:rPr>
                <w:rFonts w:ascii="宋体" w:hAnsi="宋体" w:eastAsia="宋体" w:cs="宋体"/>
              </w:rPr>
              <w:t>–</w:t>
            </w:r>
            <w:r>
              <w:t xml:space="preserve">  </w:t>
            </w:r>
            <w:r>
              <w:rPr>
                <w:rFonts w:ascii="宋体" w:hAnsi="宋体" w:eastAsia="宋体" w:cs="宋体"/>
              </w:rPr>
              <w:t>–</w:t>
            </w:r>
            <w:r>
              <w:t xml:space="preserve"> 发布</w:t>
            </w:r>
          </w:p>
        </w:tc>
        <w:tc>
          <w:tcPr>
            <w:tcW w:w="5508" w:type="dxa"/>
            <w:tcBorders>
              <w:bottom w:val="single" w:color="auto" w:sz="8" w:space="0"/>
            </w:tcBorders>
            <w:tcMar>
              <w:right w:w="57" w:type="dxa"/>
            </w:tcMar>
          </w:tcPr>
          <w:p w14:paraId="58BD313D">
            <w:pPr>
              <w:pStyle w:val="19"/>
              <w:framePr w:wrap="around"/>
              <w:ind w:right="1120"/>
              <w:jc w:val="right"/>
              <w:rPr>
                <w:rFonts w:hint="default"/>
              </w:rPr>
            </w:pPr>
            <w:r>
              <w:t xml:space="preserve">    2026 </w:t>
            </w:r>
            <w:r>
              <w:rPr>
                <w:rFonts w:ascii="宋体" w:hAnsi="宋体" w:eastAsia="宋体" w:cs="宋体"/>
              </w:rPr>
              <w:t>–</w:t>
            </w:r>
            <w:r>
              <w:t xml:space="preserve">  - </w:t>
            </w:r>
            <w:r>
              <w:rPr>
                <w:highlight w:val="none"/>
              </w:rPr>
              <w:t xml:space="preserve"> </w:t>
            </w:r>
            <w:r>
              <w:t>实施</w:t>
            </w:r>
          </w:p>
        </w:tc>
      </w:tr>
    </w:tbl>
    <w:p w14:paraId="28BE63BE">
      <w:pPr>
        <w:framePr w:w="7433" w:h="584" w:hRule="exact" w:hSpace="181" w:vSpace="181" w:wrap="around" w:vAnchor="page" w:hAnchor="margin" w:xAlign="center" w:y="15151" w:anchorLock="1"/>
        <w:widowControl/>
        <w:spacing w:line="0" w:lineRule="atLeast"/>
        <w:jc w:val="center"/>
        <w:rPr>
          <w:rFonts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0"/>
        <w:gridCol w:w="7"/>
      </w:tblGrid>
      <w:tr w14:paraId="694B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1CA66AC4">
            <w:pPr>
              <w:pStyle w:val="23"/>
              <w:framePr w:wrap="around"/>
              <w:rPr>
                <w:rFonts w:hint="default"/>
              </w:rPr>
            </w:pPr>
            <w:r>
              <w:t>ICS</w:t>
            </w:r>
          </w:p>
        </w:tc>
        <w:tc>
          <w:tcPr>
            <w:tcW w:w="9107" w:type="dxa"/>
            <w:gridSpan w:val="2"/>
          </w:tcPr>
          <w:p w14:paraId="1CEC16A0">
            <w:pPr>
              <w:pStyle w:val="23"/>
              <w:framePr w:wrap="around"/>
              <w:rPr>
                <w:rFonts w:hint="default"/>
              </w:rPr>
            </w:pPr>
          </w:p>
        </w:tc>
      </w:tr>
      <w:tr w14:paraId="398D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37AF8882">
            <w:pPr>
              <w:pStyle w:val="23"/>
              <w:framePr w:wrap="around"/>
              <w:rPr>
                <w:rFonts w:hint="default"/>
              </w:rPr>
            </w:pPr>
            <w:r>
              <w:t>CCS</w:t>
            </w:r>
          </w:p>
        </w:tc>
        <w:tc>
          <w:tcPr>
            <w:tcW w:w="9107" w:type="dxa"/>
            <w:gridSpan w:val="2"/>
          </w:tcPr>
          <w:tbl>
            <w:tblPr>
              <w:tblStyle w:val="11"/>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1235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1" w:hRule="atLeast"/>
              </w:trPr>
              <w:tc>
                <w:tcPr>
                  <w:tcW w:w="9107" w:type="dxa"/>
                  <w:vAlign w:val="center"/>
                </w:tcPr>
                <w:p w14:paraId="1482713C">
                  <w:pPr>
                    <w:pStyle w:val="23"/>
                    <w:framePr w:wrap="around"/>
                    <w:ind w:firstLine="2764"/>
                    <w:jc w:val="right"/>
                    <w:rPr>
                      <w:rFonts w:hint="default" w:ascii="Times New Roman" w:eastAsia="宋体"/>
                      <w:b/>
                      <w:w w:val="130"/>
                      <w:kern w:val="0"/>
                    </w:rPr>
                  </w:pPr>
                  <w:r>
                    <w:rPr>
                      <w:rFonts w:hint="default" w:hAnsi="黑体" w:cs="楷体"/>
                      <w:b/>
                      <w:w w:val="130"/>
                      <w:kern w:val="0"/>
                      <w:sz w:val="96"/>
                    </w:rPr>
                    <w:t>T/CGFA</w:t>
                  </w:r>
                </w:p>
              </w:tc>
            </w:tr>
          </w:tbl>
          <w:p w14:paraId="73D199D4">
            <w:pPr>
              <w:pStyle w:val="23"/>
              <w:framePr w:wrap="around"/>
              <w:rPr>
                <w:rFonts w:hint="default"/>
              </w:rPr>
            </w:pPr>
          </w:p>
        </w:tc>
      </w:tr>
      <w:tr w14:paraId="395EA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Pr>
        <w:tc>
          <w:tcPr>
            <w:tcW w:w="9563" w:type="dxa"/>
            <w:gridSpan w:val="2"/>
          </w:tcPr>
          <w:p w14:paraId="53270D80">
            <w:pPr>
              <w:pStyle w:val="26"/>
              <w:framePr w:wrap="around"/>
              <w:rPr>
                <w:szCs w:val="21"/>
              </w:rPr>
            </w:pPr>
            <w:r>
              <w:rPr>
                <w:rFonts w:hint="eastAsia"/>
              </w:rPr>
              <w:t>中国绿色食品协会团体标准</w:t>
            </w:r>
          </w:p>
        </w:tc>
      </w:tr>
    </w:tbl>
    <w:p w14:paraId="0CA71A12"/>
    <w:p w14:paraId="07E89C27">
      <w:pPr>
        <w:framePr w:w="10038" w:h="7129" w:hRule="exact" w:wrap="around" w:vAnchor="page" w:hAnchor="page" w:x="1137" w:y="6217"/>
        <w:spacing w:line="560" w:lineRule="exact"/>
        <w:jc w:val="center"/>
        <w:rPr>
          <w:rFonts w:ascii="黑体" w:hAnsi="黑体" w:eastAsia="黑体" w:cs="华文中宋"/>
          <w:bCs/>
          <w:sz w:val="48"/>
          <w:szCs w:val="48"/>
        </w:rPr>
      </w:pPr>
      <w:r>
        <w:rPr>
          <w:rFonts w:hint="eastAsia" w:ascii="黑体" w:hAnsi="黑体" w:eastAsia="黑体" w:cs="华文中宋"/>
          <w:bCs/>
          <w:sz w:val="48"/>
          <w:szCs w:val="48"/>
        </w:rPr>
        <w:t xml:space="preserve">绿色食品 </w:t>
      </w:r>
      <w:r>
        <w:rPr>
          <w:rFonts w:hint="eastAsia" w:ascii="黑体" w:hAnsi="黑体" w:eastAsia="黑体" w:cs="宋体"/>
          <w:sz w:val="48"/>
          <w:szCs w:val="48"/>
        </w:rPr>
        <w:t>秦岭淮河以南</w:t>
      </w:r>
      <w:r>
        <w:rPr>
          <w:rFonts w:hint="eastAsia" w:ascii="黑体" w:hAnsi="黑体" w:eastAsia="黑体"/>
          <w:sz w:val="48"/>
          <w:szCs w:val="48"/>
        </w:rPr>
        <w:t>鲜食</w:t>
      </w:r>
      <w:r>
        <w:rPr>
          <w:rFonts w:hint="eastAsia" w:ascii="黑体" w:hAnsi="黑体" w:eastAsia="黑体" w:cs="华文中宋"/>
          <w:bCs/>
          <w:sz w:val="48"/>
          <w:szCs w:val="48"/>
        </w:rPr>
        <w:t>玉米生产操作规程</w:t>
      </w:r>
    </w:p>
    <w:p w14:paraId="698543C2">
      <w:pPr>
        <w:framePr w:w="10038" w:h="7129" w:hRule="exact" w:wrap="around" w:vAnchor="page" w:hAnchor="page" w:x="1137" w:y="6217"/>
        <w:jc w:val="center"/>
        <w:rPr>
          <w:rFonts w:ascii="Segoe UI" w:hAnsi="Segoe UI" w:eastAsia="Segoe UI" w:cs="Segoe UI"/>
          <w:szCs w:val="21"/>
          <w:shd w:val="clear" w:color="auto" w:fill="EDF1F9"/>
        </w:rPr>
      </w:pPr>
    </w:p>
    <w:p w14:paraId="0942135A">
      <w:pPr>
        <w:framePr w:w="10038" w:h="7129" w:hRule="exact" w:wrap="around" w:vAnchor="page" w:hAnchor="page" w:x="1137" w:y="6217"/>
        <w:widowControl/>
        <w:jc w:val="center"/>
        <w:rPr>
          <w:rFonts w:ascii="Times New Roman" w:hAnsi="Times New Roman" w:eastAsia="华文中宋" w:cs="Times New Roman"/>
          <w:bCs/>
          <w:sz w:val="24"/>
          <w:szCs w:val="24"/>
        </w:rPr>
      </w:pPr>
      <w:r>
        <w:rPr>
          <w:rFonts w:ascii="Times New Roman" w:hAnsi="Times New Roman" w:eastAsia="华文中宋" w:cs="Times New Roman"/>
          <w:bCs/>
          <w:sz w:val="24"/>
          <w:szCs w:val="24"/>
        </w:rPr>
        <w:t>Green Food - Operating Procedures for Fresh-Eating Corn Production</w:t>
      </w:r>
    </w:p>
    <w:p w14:paraId="03CB6A17">
      <w:pPr>
        <w:framePr w:w="10038" w:h="7129" w:hRule="exact" w:wrap="around" w:vAnchor="page" w:hAnchor="page" w:x="1137" w:y="6217"/>
        <w:widowControl/>
        <w:jc w:val="center"/>
      </w:pPr>
      <w:r>
        <w:rPr>
          <w:rFonts w:ascii="Times New Roman" w:hAnsi="Times New Roman" w:eastAsia="华文中宋" w:cs="Times New Roman"/>
          <w:bCs/>
          <w:sz w:val="24"/>
          <w:szCs w:val="24"/>
        </w:rPr>
        <w:t>South of the Qinling Mountains and Huaihe River</w:t>
      </w:r>
    </w:p>
    <w:p w14:paraId="6AD7CC91">
      <w:pPr>
        <w:framePr w:w="10038" w:h="7129" w:hRule="exact" w:wrap="around" w:vAnchor="page" w:hAnchor="page" w:x="1137" w:y="6217"/>
        <w:spacing w:line="560" w:lineRule="exact"/>
        <w:jc w:val="center"/>
        <w:rPr>
          <w:rFonts w:ascii="Times New Roman" w:hAnsi="Times New Roman" w:eastAsia="华文中宋" w:cs="Times New Roman"/>
          <w:bCs/>
          <w:sz w:val="24"/>
          <w:szCs w:val="24"/>
        </w:rPr>
      </w:pPr>
    </w:p>
    <w:p w14:paraId="5CC27F34">
      <w:pPr>
        <w:framePr w:w="10038" w:h="7129" w:hRule="exact" w:wrap="around" w:vAnchor="page" w:hAnchor="page" w:x="1137" w:y="6217"/>
        <w:spacing w:line="560" w:lineRule="exact"/>
        <w:jc w:val="center"/>
        <w:rPr>
          <w:rFonts w:ascii="Times New Roman" w:hAnsi="Times New Roman" w:eastAsia="华文中宋" w:cs="Times New Roman"/>
          <w:bCs/>
          <w:sz w:val="24"/>
          <w:szCs w:val="24"/>
        </w:rPr>
      </w:pPr>
    </w:p>
    <w:p w14:paraId="213319F0">
      <w:pPr>
        <w:framePr w:w="10038" w:h="7129" w:hRule="exact" w:wrap="around" w:vAnchor="page" w:hAnchor="page" w:x="1137" w:y="6217"/>
        <w:spacing w:line="560" w:lineRule="exact"/>
        <w:jc w:val="center"/>
        <w:rPr>
          <w:rFonts w:hint="eastAsia" w:ascii="黑体" w:hAnsi="黑体" w:eastAsia="黑体" w:cs="黑体"/>
          <w:bCs/>
          <w:sz w:val="36"/>
          <w:szCs w:val="36"/>
          <w:lang w:eastAsia="zh-CN"/>
        </w:rPr>
      </w:pPr>
      <w:r>
        <w:rPr>
          <w:rFonts w:hint="eastAsia" w:ascii="黑体" w:hAnsi="黑体" w:eastAsia="黑体" w:cs="黑体"/>
          <w:bCs/>
          <w:sz w:val="36"/>
          <w:szCs w:val="36"/>
          <w:lang w:eastAsia="zh-CN"/>
        </w:rPr>
        <w:t>（</w:t>
      </w:r>
      <w:r>
        <w:rPr>
          <w:rFonts w:hint="eastAsia" w:ascii="黑体" w:hAnsi="黑体" w:eastAsia="黑体" w:cs="黑体"/>
          <w:bCs/>
          <w:sz w:val="36"/>
          <w:szCs w:val="36"/>
          <w:lang w:val="en-US" w:eastAsia="zh-CN"/>
        </w:rPr>
        <w:t>征求意见稿</w:t>
      </w:r>
      <w:r>
        <w:rPr>
          <w:rFonts w:hint="eastAsia" w:ascii="黑体" w:hAnsi="黑体" w:eastAsia="黑体" w:cs="黑体"/>
          <w:bCs/>
          <w:sz w:val="36"/>
          <w:szCs w:val="36"/>
          <w:lang w:eastAsia="zh-CN"/>
        </w:rPr>
        <w:t>）</w:t>
      </w:r>
    </w:p>
    <w:p w14:paraId="741FA95D">
      <w:pPr>
        <w:pStyle w:val="22"/>
        <w:framePr w:w="10038" w:h="7129" w:hRule="exact" w:wrap="around" w:x="1137" w:y="6217"/>
        <w:rPr>
          <w:rFonts w:hint="default"/>
        </w:rPr>
      </w:pPr>
    </w:p>
    <w:p w14:paraId="54DDA884">
      <w:pPr>
        <w:widowControl/>
        <w:jc w:val="left"/>
      </w:pPr>
      <w:r>
        <w:br w:type="page"/>
      </w:r>
    </w:p>
    <w:p w14:paraId="5E320158">
      <w:pPr>
        <w:sectPr>
          <w:pgSz w:w="11906" w:h="16838"/>
          <w:pgMar w:top="1440" w:right="1800" w:bottom="1440" w:left="1800" w:header="851" w:footer="992" w:gutter="0"/>
          <w:cols w:space="425" w:num="1"/>
          <w:docGrid w:type="lines" w:linePitch="312" w:charSpace="0"/>
        </w:sectPr>
      </w:pPr>
    </w:p>
    <w:p w14:paraId="14A35766">
      <w:pPr>
        <w:jc w:val="center"/>
        <w:rPr>
          <w:rFonts w:ascii="黑体" w:hAnsi="黑体" w:eastAsia="黑体"/>
          <w:bCs/>
          <w:sz w:val="32"/>
          <w:szCs w:val="32"/>
        </w:rPr>
      </w:pPr>
      <w:r>
        <w:rPr>
          <w:rFonts w:hint="eastAsia" w:ascii="黑体" w:hAnsi="黑体" w:eastAsia="黑体"/>
          <w:bCs/>
          <w:sz w:val="32"/>
          <w:szCs w:val="32"/>
        </w:rPr>
        <w:t>前   言</w:t>
      </w:r>
    </w:p>
    <w:p w14:paraId="17310897">
      <w:pPr>
        <w:ind w:firstLine="420" w:firstLineChars="200"/>
        <w:rPr>
          <w:rFonts w:ascii="宋体" w:hAnsi="宋体" w:eastAsia="宋体"/>
        </w:rPr>
      </w:pPr>
      <w:r>
        <w:rPr>
          <w:rFonts w:hint="eastAsia" w:ascii="宋体" w:hAnsi="宋体" w:eastAsia="宋体"/>
        </w:rPr>
        <w:t>本文件按照 GB/T 1.1-2020《标准化工作导则  第1部分：标准化文件的结构和起草规则》的规则起草。</w:t>
      </w:r>
    </w:p>
    <w:p w14:paraId="69254500">
      <w:pPr>
        <w:ind w:firstLine="420" w:firstLineChars="200"/>
        <w:rPr>
          <w:rFonts w:ascii="宋体" w:hAnsi="宋体" w:eastAsia="宋体"/>
        </w:rPr>
      </w:pPr>
      <w:r>
        <w:rPr>
          <w:rFonts w:hint="eastAsia" w:ascii="宋体" w:hAnsi="宋体" w:eastAsia="宋体"/>
        </w:rPr>
        <w:t>本文件由中国绿色食品发展中心提出。</w:t>
      </w:r>
    </w:p>
    <w:p w14:paraId="1113610A">
      <w:pPr>
        <w:ind w:firstLine="420" w:firstLineChars="200"/>
        <w:rPr>
          <w:rFonts w:ascii="宋体" w:hAnsi="宋体" w:eastAsia="宋体"/>
        </w:rPr>
      </w:pPr>
      <w:r>
        <w:rPr>
          <w:rFonts w:hint="eastAsia" w:ascii="宋体" w:hAnsi="宋体" w:eastAsia="宋体"/>
        </w:rPr>
        <w:t>本文件由中国绿色食品协会归口。</w:t>
      </w:r>
    </w:p>
    <w:p w14:paraId="11CDB79C">
      <w:pPr>
        <w:ind w:firstLine="420" w:firstLineChars="200"/>
        <w:rPr>
          <w:rFonts w:hint="eastAsia" w:ascii="宋体" w:hAnsi="宋体" w:eastAsia="宋体"/>
          <w:lang w:eastAsia="zh-CN"/>
        </w:rPr>
      </w:pPr>
      <w:r>
        <w:rPr>
          <w:rFonts w:hint="eastAsia" w:ascii="宋体" w:hAnsi="宋体" w:eastAsia="宋体"/>
        </w:rPr>
        <w:t>本文件起草单位：</w:t>
      </w:r>
      <w:r>
        <w:rPr>
          <w:rFonts w:hint="eastAsia" w:ascii="宋体" w:hAnsi="宋体" w:eastAsia="宋体"/>
          <w:lang w:val="en-US" w:eastAsia="zh-CN"/>
        </w:rPr>
        <w:t>*</w:t>
      </w:r>
      <w:bookmarkStart w:id="8" w:name="_GoBack"/>
      <w:bookmarkEnd w:id="8"/>
    </w:p>
    <w:p w14:paraId="0727E088">
      <w:pPr>
        <w:ind w:firstLine="420" w:firstLineChars="200"/>
        <w:rPr>
          <w:rFonts w:hint="eastAsia" w:ascii="宋体" w:hAnsi="宋体" w:eastAsia="宋体"/>
          <w:lang w:eastAsia="zh-CN"/>
        </w:rPr>
      </w:pPr>
      <w:r>
        <w:rPr>
          <w:rFonts w:hint="eastAsia" w:ascii="宋体" w:hAnsi="宋体" w:eastAsia="宋体"/>
        </w:rPr>
        <w:t>本文件主要起草人：</w:t>
      </w:r>
      <w:r>
        <w:rPr>
          <w:rFonts w:hint="eastAsia" w:ascii="宋体" w:hAnsi="宋体" w:eastAsia="宋体"/>
          <w:lang w:val="en-US" w:eastAsia="zh-CN"/>
        </w:rPr>
        <w:t>*</w:t>
      </w:r>
    </w:p>
    <w:p w14:paraId="17087D4C">
      <w:pPr>
        <w:ind w:firstLine="420" w:firstLineChars="200"/>
        <w:rPr>
          <w:rFonts w:ascii="宋体" w:hAnsi="宋体" w:eastAsia="宋体"/>
        </w:rPr>
      </w:pPr>
      <w:r>
        <w:rPr>
          <w:rFonts w:hint="eastAsia" w:ascii="宋体" w:hAnsi="宋体" w:eastAsia="宋体" w:cs="宋体"/>
          <w:kern w:val="0"/>
          <w:szCs w:val="21"/>
        </w:rPr>
        <w:t>本文件批准发布后，因个别内容需要进行修改，或者对原文件内容进行增减时，可采用修改单方式修改本文件。</w:t>
      </w:r>
    </w:p>
    <w:p w14:paraId="1BC125FE">
      <w:pPr>
        <w:ind w:firstLine="420" w:firstLineChars="200"/>
        <w:rPr>
          <w:rFonts w:ascii="宋体" w:hAnsi="宋体" w:eastAsia="宋体"/>
        </w:rPr>
      </w:pPr>
      <w:r>
        <w:rPr>
          <w:rFonts w:hint="eastAsia" w:ascii="宋体" w:hAnsi="宋体" w:eastAsia="宋体"/>
        </w:rPr>
        <w:t>本文件为首次发布。</w:t>
      </w:r>
    </w:p>
    <w:p w14:paraId="2F7AB4BB"/>
    <w:p w14:paraId="3199B40F">
      <w:pPr>
        <w:sectPr>
          <w:pgSz w:w="11906" w:h="16838"/>
          <w:pgMar w:top="1440" w:right="1800" w:bottom="1440" w:left="1800" w:header="851" w:footer="992" w:gutter="0"/>
          <w:cols w:space="425" w:num="1"/>
          <w:docGrid w:type="lines" w:linePitch="312" w:charSpace="0"/>
        </w:sectPr>
      </w:pPr>
    </w:p>
    <w:p w14:paraId="0E8EDA99">
      <w:pPr>
        <w:widowControl/>
        <w:jc w:val="center"/>
        <w:rPr>
          <w:rFonts w:ascii="黑体" w:hAnsi="黑体" w:eastAsia="黑体" w:cs="黑体"/>
          <w:kern w:val="0"/>
          <w:sz w:val="32"/>
          <w:szCs w:val="32"/>
        </w:rPr>
      </w:pPr>
      <w:r>
        <w:rPr>
          <w:rFonts w:hint="eastAsia" w:ascii="黑体" w:hAnsi="黑体" w:eastAsia="黑体" w:cs="黑体"/>
          <w:kern w:val="0"/>
          <w:sz w:val="32"/>
          <w:szCs w:val="32"/>
        </w:rPr>
        <w:t>绿色食品 秦岭淮河以南地区玉米生产操作规程</w:t>
      </w:r>
    </w:p>
    <w:p w14:paraId="565F91C4">
      <w:pPr>
        <w:pStyle w:val="24"/>
        <w:numPr>
          <w:ilvl w:val="0"/>
          <w:numId w:val="0"/>
        </w:numPr>
        <w:spacing w:before="312" w:after="312"/>
        <w:ind w:left="265" w:leftChars="-74" w:hanging="420"/>
      </w:pPr>
      <w:r>
        <w:rPr>
          <w:rFonts w:hint="eastAsia"/>
        </w:rPr>
        <w:t>1  范围</w:t>
      </w:r>
    </w:p>
    <w:p w14:paraId="1CFA736E">
      <w:pPr>
        <w:pStyle w:val="30"/>
        <w:tabs>
          <w:tab w:val="center" w:pos="4201"/>
          <w:tab w:val="right" w:leader="dot" w:pos="9298"/>
        </w:tabs>
        <w:ind w:firstLine="420"/>
        <w:rPr>
          <w:rFonts w:ascii="Times New Roman"/>
          <w:kern w:val="2"/>
          <w:szCs w:val="21"/>
        </w:rPr>
      </w:pPr>
      <w:r>
        <w:rPr>
          <w:rFonts w:ascii="Times New Roman"/>
          <w:kern w:val="2"/>
          <w:szCs w:val="21"/>
        </w:rPr>
        <w:t>本</w:t>
      </w:r>
      <w:r>
        <w:rPr>
          <w:rFonts w:hint="eastAsia" w:ascii="Times New Roman"/>
          <w:kern w:val="2"/>
          <w:szCs w:val="21"/>
        </w:rPr>
        <w:t>文件</w:t>
      </w:r>
      <w:r>
        <w:rPr>
          <w:rFonts w:ascii="Times New Roman"/>
          <w:kern w:val="2"/>
          <w:szCs w:val="21"/>
        </w:rPr>
        <w:t>规定了</w:t>
      </w:r>
      <w:bookmarkStart w:id="0" w:name="OLE_LINK8"/>
      <w:bookmarkStart w:id="1" w:name="OLE_LINK6"/>
      <w:r>
        <w:rPr>
          <w:rFonts w:hint="eastAsia" w:hAnsi="宋体" w:cs="宋体"/>
        </w:rPr>
        <w:t>绿色食品秦岭淮河以南地区</w:t>
      </w:r>
      <w:bookmarkEnd w:id="0"/>
      <w:bookmarkEnd w:id="1"/>
      <w:r>
        <w:rPr>
          <w:rFonts w:hint="eastAsia" w:hAnsi="宋体" w:cs="宋体"/>
        </w:rPr>
        <w:t>鲜食玉米的产地环境、品种选择、整地、播种、田间管理、采收、生产废弃物的处理及贮藏。</w:t>
      </w:r>
    </w:p>
    <w:p w14:paraId="30CBDF2B">
      <w:pPr>
        <w:pStyle w:val="30"/>
        <w:tabs>
          <w:tab w:val="center" w:pos="4201"/>
          <w:tab w:val="right" w:leader="dot" w:pos="9298"/>
        </w:tabs>
        <w:ind w:firstLine="420"/>
        <w:rPr>
          <w:rFonts w:ascii="Times New Roman"/>
          <w:kern w:val="2"/>
          <w:szCs w:val="21"/>
        </w:rPr>
      </w:pPr>
      <w:r>
        <w:rPr>
          <w:rFonts w:ascii="Times New Roman"/>
          <w:kern w:val="2"/>
          <w:szCs w:val="21"/>
        </w:rPr>
        <w:t>本</w:t>
      </w:r>
      <w:r>
        <w:rPr>
          <w:rFonts w:hint="eastAsia" w:ascii="Times New Roman"/>
          <w:kern w:val="2"/>
          <w:szCs w:val="21"/>
        </w:rPr>
        <w:t>文件</w:t>
      </w:r>
      <w:r>
        <w:rPr>
          <w:rFonts w:ascii="Times New Roman"/>
          <w:kern w:val="2"/>
          <w:szCs w:val="21"/>
        </w:rPr>
        <w:t>适用于</w:t>
      </w:r>
      <w:r>
        <w:rPr>
          <w:rFonts w:hint="eastAsia" w:hAnsi="宋体" w:cs="宋体"/>
        </w:rPr>
        <w:t>上海、江苏、浙江、安徽、福建、江西、河南、湖北、湖南、广东、广西、海南、重庆、四川、贵州、云南、陕西等省秦岭淮河以南地区的绿色食品鲜食玉米生产。</w:t>
      </w:r>
    </w:p>
    <w:p w14:paraId="2B7718DE">
      <w:pPr>
        <w:pStyle w:val="2"/>
        <w:spacing w:before="312" w:beforeLines="100" w:after="312" w:afterLine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  规范性引用文件</w:t>
      </w:r>
    </w:p>
    <w:p w14:paraId="4C168F2B">
      <w:pPr>
        <w:pStyle w:val="30"/>
        <w:tabs>
          <w:tab w:val="center" w:pos="4201"/>
          <w:tab w:val="right" w:leader="dot" w:pos="9298"/>
        </w:tabs>
        <w:spacing w:line="500" w:lineRule="exact"/>
        <w:ind w:firstLine="420"/>
      </w:pPr>
      <w:sdt>
        <w:sdtPr>
          <w:tag w:val="StandNameFile"/>
          <w:id w:val="147452692"/>
          <w:placeholder>
            <w:docPart w:val="{65414cb8-866f-4122-8099-1636c23d732d}"/>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r>
            <w:rPr>
              <w:rFonts w:hint="eastAsia" w:hAnsi="宋体" w:cs="宋体"/>
              <w:kern w:val="2"/>
              <w:szCs w:val="21"/>
            </w:rPr>
            <w:t xml:space="preserve">下列文件对于本文件的应用是必不可少的。凡是注日期的引用文件，仅注日期的版本适用于本文件。凡是不注日期的引用文件，其最新版本（包括所有的修改单）适用于本文件。 </w:t>
          </w:r>
        </w:sdtContent>
      </w:sdt>
    </w:p>
    <w:p w14:paraId="659917B6">
      <w:pPr>
        <w:pStyle w:val="30"/>
        <w:tabs>
          <w:tab w:val="center" w:pos="4201"/>
          <w:tab w:val="right" w:leader="dot" w:pos="9298"/>
        </w:tabs>
        <w:spacing w:line="400" w:lineRule="exact"/>
        <w:ind w:firstLine="420"/>
        <w:rPr>
          <w:rFonts w:ascii="Times New Roman"/>
          <w:kern w:val="2"/>
          <w:szCs w:val="21"/>
        </w:rPr>
      </w:pPr>
      <w:r>
        <w:rPr>
          <w:rFonts w:hint="eastAsia" w:ascii="Times New Roman"/>
          <w:kern w:val="2"/>
          <w:szCs w:val="21"/>
        </w:rPr>
        <w:t>GB4404.1  粮食作物种子 第1部分：禾谷类</w:t>
      </w:r>
    </w:p>
    <w:p w14:paraId="699729F0">
      <w:pPr>
        <w:pStyle w:val="30"/>
        <w:tabs>
          <w:tab w:val="center" w:pos="4201"/>
          <w:tab w:val="right" w:leader="dot" w:pos="9298"/>
        </w:tabs>
        <w:spacing w:line="400" w:lineRule="exact"/>
        <w:ind w:firstLine="420"/>
        <w:rPr>
          <w:rFonts w:ascii="Times New Roman"/>
          <w:kern w:val="2"/>
          <w:szCs w:val="21"/>
        </w:rPr>
      </w:pPr>
      <w:r>
        <w:rPr>
          <w:rFonts w:hint="eastAsia" w:ascii="Times New Roman"/>
          <w:kern w:val="2"/>
          <w:szCs w:val="21"/>
        </w:rPr>
        <w:t>NY/T 391  绿色食品 产地环境质量</w:t>
      </w:r>
    </w:p>
    <w:p w14:paraId="71D535B3">
      <w:pPr>
        <w:pStyle w:val="30"/>
        <w:tabs>
          <w:tab w:val="center" w:pos="4201"/>
          <w:tab w:val="right" w:leader="dot" w:pos="9298"/>
        </w:tabs>
        <w:spacing w:line="400" w:lineRule="exact"/>
        <w:ind w:firstLine="420"/>
        <w:rPr>
          <w:rFonts w:ascii="Times New Roman"/>
          <w:kern w:val="2"/>
          <w:szCs w:val="21"/>
        </w:rPr>
      </w:pPr>
      <w:r>
        <w:rPr>
          <w:rFonts w:hint="eastAsia" w:ascii="Times New Roman"/>
          <w:kern w:val="2"/>
          <w:szCs w:val="21"/>
        </w:rPr>
        <w:t>NY/T 393  绿色食品 农药使用准则</w:t>
      </w:r>
    </w:p>
    <w:p w14:paraId="5CF77D00">
      <w:pPr>
        <w:pStyle w:val="30"/>
        <w:tabs>
          <w:tab w:val="center" w:pos="4201"/>
          <w:tab w:val="right" w:leader="dot" w:pos="9298"/>
        </w:tabs>
        <w:spacing w:line="400" w:lineRule="exact"/>
        <w:ind w:firstLine="420"/>
        <w:rPr>
          <w:rFonts w:ascii="Times New Roman"/>
          <w:kern w:val="2"/>
          <w:szCs w:val="21"/>
        </w:rPr>
      </w:pPr>
      <w:r>
        <w:rPr>
          <w:rFonts w:hint="eastAsia" w:ascii="Times New Roman"/>
          <w:kern w:val="2"/>
          <w:szCs w:val="21"/>
        </w:rPr>
        <w:t xml:space="preserve">NY/T 394  绿色食品 肥料使用准则 </w:t>
      </w:r>
    </w:p>
    <w:p w14:paraId="21AA00D1">
      <w:pPr>
        <w:pStyle w:val="24"/>
        <w:numPr>
          <w:ilvl w:val="0"/>
          <w:numId w:val="0"/>
        </w:numPr>
        <w:spacing w:before="312" w:after="312"/>
        <w:ind w:left="420" w:hanging="420"/>
      </w:pPr>
      <w:r>
        <w:rPr>
          <w:rFonts w:hint="eastAsia"/>
        </w:rPr>
        <w:t>3  术语和定义</w:t>
      </w:r>
    </w:p>
    <w:p w14:paraId="68601528">
      <w:pPr>
        <w:rPr>
          <w:rFonts w:ascii="宋体" w:hAnsi="宋体" w:eastAsia="宋体" w:cs="仿宋"/>
          <w:bCs/>
          <w:szCs w:val="21"/>
        </w:rPr>
      </w:pPr>
      <w:r>
        <w:rPr>
          <w:rFonts w:hint="eastAsia" w:ascii="宋体" w:hAnsi="宋体" w:eastAsia="宋体" w:cs="仿宋"/>
          <w:bCs/>
          <w:szCs w:val="21"/>
        </w:rPr>
        <w:t xml:space="preserve">    下列术语和定义适用于本文件。</w:t>
      </w:r>
    </w:p>
    <w:p w14:paraId="769BC119">
      <w:pPr>
        <w:widowControl/>
        <w:rPr>
          <w:rFonts w:ascii="黑体" w:hAnsi="黑体" w:eastAsia="黑体" w:cs="仿宋"/>
          <w:bCs/>
          <w:szCs w:val="21"/>
        </w:rPr>
      </w:pPr>
      <w:r>
        <w:rPr>
          <w:rFonts w:ascii="黑体" w:hAnsi="黑体" w:eastAsia="黑体" w:cs="仿宋"/>
          <w:bCs/>
          <w:szCs w:val="21"/>
        </w:rPr>
        <w:t xml:space="preserve">3.1 </w:t>
      </w:r>
    </w:p>
    <w:p w14:paraId="3D341B20">
      <w:pPr>
        <w:widowControl/>
        <w:ind w:firstLine="420" w:firstLineChars="200"/>
        <w:rPr>
          <w:rFonts w:ascii="黑体" w:hAnsi="黑体" w:eastAsia="黑体" w:cs="仿宋"/>
          <w:bCs/>
          <w:szCs w:val="21"/>
        </w:rPr>
      </w:pPr>
      <w:r>
        <w:rPr>
          <w:rFonts w:hint="eastAsia" w:ascii="黑体" w:hAnsi="黑体" w:eastAsia="黑体" w:cs="仿宋"/>
          <w:bCs/>
          <w:szCs w:val="21"/>
        </w:rPr>
        <w:t xml:space="preserve">绿色食品  </w:t>
      </w:r>
      <w:r>
        <w:rPr>
          <w:rFonts w:hint="eastAsia" w:ascii="Times New Roman" w:hAnsi="Times New Roman" w:eastAsia="宋体" w:cs="Times New Roman"/>
          <w:szCs w:val="21"/>
        </w:rPr>
        <w:t>G</w:t>
      </w:r>
      <w:r>
        <w:rPr>
          <w:rFonts w:ascii="Times New Roman" w:hAnsi="Times New Roman" w:eastAsia="宋体" w:cs="Times New Roman"/>
          <w:szCs w:val="21"/>
        </w:rPr>
        <w:t xml:space="preserve">reen </w:t>
      </w:r>
      <w:r>
        <w:rPr>
          <w:rFonts w:hint="eastAsia" w:ascii="Times New Roman" w:hAnsi="Times New Roman" w:eastAsia="宋体" w:cs="Times New Roman"/>
          <w:szCs w:val="21"/>
        </w:rPr>
        <w:t>f</w:t>
      </w:r>
      <w:r>
        <w:rPr>
          <w:rFonts w:ascii="Times New Roman" w:hAnsi="Times New Roman" w:eastAsia="宋体" w:cs="Times New Roman"/>
          <w:szCs w:val="21"/>
        </w:rPr>
        <w:t xml:space="preserve">ood </w:t>
      </w:r>
    </w:p>
    <w:p w14:paraId="0C9D8721">
      <w:pPr>
        <w:widowControl/>
        <w:rPr>
          <w:rFonts w:ascii="宋体" w:hAnsi="宋体" w:eastAsia="宋体" w:cs="仿宋"/>
          <w:bCs/>
          <w:szCs w:val="21"/>
        </w:rPr>
      </w:pPr>
      <w:r>
        <w:rPr>
          <w:rFonts w:hint="eastAsia" w:ascii="宋体" w:hAnsi="宋体" w:eastAsia="宋体" w:cs="仿宋"/>
          <w:bCs/>
          <w:szCs w:val="21"/>
        </w:rPr>
        <w:t xml:space="preserve">    产自优良生态环境、按照绿色食品标准生产、实行全程质量控制并获得绿色食品标志使用权的安全、优质食用农产品及相关产品。</w:t>
      </w:r>
    </w:p>
    <w:p w14:paraId="662B711B">
      <w:pPr>
        <w:pStyle w:val="31"/>
        <w:spacing w:before="312" w:beforeLines="100" w:after="312" w:afterLines="100"/>
        <w:ind w:firstLine="0"/>
        <w:contextualSpacing/>
        <w:rPr>
          <w:rFonts w:ascii="黑体" w:hAnsi="黑体" w:eastAsia="黑体" w:cs="仿宋"/>
          <w:bCs/>
        </w:rPr>
      </w:pPr>
      <w:r>
        <w:rPr>
          <w:rFonts w:hint="eastAsia" w:ascii="黑体" w:hAnsi="黑体" w:eastAsia="黑体" w:cs="仿宋"/>
          <w:bCs/>
        </w:rPr>
        <w:t xml:space="preserve">4  </w:t>
      </w:r>
      <w:r>
        <w:rPr>
          <w:rFonts w:ascii="黑体" w:hAnsi="黑体" w:eastAsia="黑体" w:cs="仿宋"/>
          <w:bCs/>
        </w:rPr>
        <w:t>产地环境</w:t>
      </w:r>
    </w:p>
    <w:p w14:paraId="7B6D010F">
      <w:pPr>
        <w:pStyle w:val="31"/>
        <w:spacing w:before="156" w:beforeLines="50" w:after="156" w:afterLines="50" w:line="400" w:lineRule="atLeast"/>
        <w:ind w:firstLine="0"/>
        <w:contextualSpacing/>
        <w:rPr>
          <w:rFonts w:ascii="黑体" w:hAnsi="黑体" w:eastAsia="黑体" w:cs="黑体"/>
          <w:color w:val="000000" w:themeColor="text1"/>
          <w14:textFill>
            <w14:solidFill>
              <w14:schemeClr w14:val="tx1"/>
            </w14:solidFill>
          </w14:textFill>
        </w:rPr>
      </w:pPr>
      <w:r>
        <w:rPr>
          <w:rFonts w:hint="eastAsia" w:ascii="黑体" w:hAnsi="黑体" w:eastAsia="黑体" w:cs="仿宋"/>
          <w:bCs/>
        </w:rPr>
        <w:t>4</w:t>
      </w:r>
      <w:r>
        <w:rPr>
          <w:rFonts w:ascii="黑体" w:hAnsi="黑体" w:eastAsia="黑体" w:cs="仿宋"/>
          <w:bCs/>
        </w:rPr>
        <w:t>.</w:t>
      </w:r>
      <w:r>
        <w:rPr>
          <w:rFonts w:hint="eastAsia" w:ascii="黑体" w:hAnsi="黑体" w:eastAsia="黑体" w:cs="仿宋"/>
          <w:bCs/>
        </w:rPr>
        <w:t xml:space="preserve">1  </w:t>
      </w:r>
      <w:r>
        <w:rPr>
          <w:rFonts w:hint="eastAsia" w:ascii="黑体" w:hAnsi="黑体" w:eastAsia="黑体" w:cs="黑体"/>
          <w:color w:val="000000" w:themeColor="text1"/>
          <w14:textFill>
            <w14:solidFill>
              <w14:schemeClr w14:val="tx1"/>
            </w14:solidFill>
          </w14:textFill>
        </w:rPr>
        <w:t>环境条件</w:t>
      </w:r>
    </w:p>
    <w:p w14:paraId="0FDF1491">
      <w:pPr>
        <w:pStyle w:val="30"/>
        <w:tabs>
          <w:tab w:val="center" w:pos="4201"/>
          <w:tab w:val="right" w:leader="dot" w:pos="9298"/>
        </w:tabs>
        <w:ind w:firstLine="420"/>
        <w:rPr>
          <w:rFonts w:ascii="Times New Roman"/>
          <w:sz w:val="28"/>
          <w:szCs w:val="28"/>
        </w:rPr>
      </w:pPr>
      <w:r>
        <w:rPr>
          <w:rFonts w:hint="eastAsia" w:hAnsi="宋体" w:cs="宋体"/>
          <w:color w:val="000000" w:themeColor="text1"/>
          <w14:textFill>
            <w14:solidFill>
              <w14:schemeClr w14:val="tx1"/>
            </w14:solidFill>
          </w14:textFill>
        </w:rPr>
        <w:t>产地环境质量应符合NY/T 391的要求。</w:t>
      </w:r>
    </w:p>
    <w:p w14:paraId="63B88C96">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仿宋"/>
          <w:bCs/>
        </w:rPr>
        <w:t>4</w:t>
      </w:r>
      <w:r>
        <w:rPr>
          <w:rFonts w:ascii="黑体" w:hAnsi="黑体" w:eastAsia="黑体" w:cs="仿宋"/>
          <w:bCs/>
        </w:rPr>
        <w:t>.2</w:t>
      </w:r>
      <w:r>
        <w:rPr>
          <w:rFonts w:hint="eastAsia" w:ascii="黑体" w:hAnsi="黑体" w:eastAsia="黑体" w:cs="仿宋"/>
          <w:bCs/>
        </w:rPr>
        <w:t xml:space="preserve">  </w:t>
      </w:r>
      <w:r>
        <w:rPr>
          <w:rFonts w:hint="eastAsia" w:ascii="黑体" w:hAnsi="黑体" w:eastAsia="黑体" w:cs="黑体"/>
        </w:rPr>
        <w:t>土壤条件</w:t>
      </w:r>
    </w:p>
    <w:p w14:paraId="2648ED63">
      <w:pPr>
        <w:pStyle w:val="30"/>
        <w:tabs>
          <w:tab w:val="center" w:pos="4201"/>
          <w:tab w:val="right" w:leader="dot" w:pos="9298"/>
        </w:tabs>
        <w:ind w:firstLine="420"/>
        <w:rPr>
          <w:rFonts w:ascii="Times New Roman"/>
          <w:kern w:val="2"/>
          <w:szCs w:val="21"/>
        </w:rPr>
      </w:pPr>
      <w:r>
        <w:rPr>
          <w:rFonts w:hint="eastAsia" w:hAnsi="宋体" w:cs="宋体"/>
        </w:rPr>
        <w:t>选择光温条件好、保水保肥、排灌方便、土层深厚、结构良好，肥力水平高，酸碱度近于中性的壤土或沙壤土种植。</w:t>
      </w:r>
    </w:p>
    <w:p w14:paraId="42A27532">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仿宋"/>
          <w:bCs/>
        </w:rPr>
        <w:t>4</w:t>
      </w:r>
      <w:r>
        <w:rPr>
          <w:rFonts w:ascii="黑体" w:hAnsi="黑体" w:eastAsia="黑体" w:cs="仿宋"/>
          <w:bCs/>
        </w:rPr>
        <w:t>.3</w:t>
      </w:r>
      <w:r>
        <w:rPr>
          <w:rFonts w:hint="eastAsia" w:ascii="黑体" w:hAnsi="黑体" w:eastAsia="黑体" w:cs="仿宋"/>
          <w:bCs/>
        </w:rPr>
        <w:t xml:space="preserve">  </w:t>
      </w:r>
      <w:r>
        <w:rPr>
          <w:rFonts w:hint="eastAsia" w:ascii="黑体" w:hAnsi="黑体" w:eastAsia="黑体" w:cs="黑体"/>
        </w:rPr>
        <w:t>与其它类型玉米隔离种植</w:t>
      </w:r>
    </w:p>
    <w:p w14:paraId="54128877">
      <w:pPr>
        <w:pStyle w:val="30"/>
        <w:tabs>
          <w:tab w:val="center" w:pos="4201"/>
          <w:tab w:val="right" w:leader="dot" w:pos="9298"/>
        </w:tabs>
        <w:ind w:firstLine="420"/>
        <w:rPr>
          <w:rFonts w:hAnsi="宋体" w:cs="宋体"/>
        </w:rPr>
      </w:pPr>
      <w:r>
        <w:rPr>
          <w:rFonts w:hint="eastAsia" w:hAnsi="宋体" w:cs="宋体"/>
        </w:rPr>
        <w:t>与普通玉米隔离300m以上，或利用河流、山谷、建筑物、高杆作物等进行空间隔离，采取时间隔离时应错期播种30d左右。</w:t>
      </w:r>
    </w:p>
    <w:p w14:paraId="5876565A">
      <w:pPr>
        <w:pStyle w:val="30"/>
        <w:tabs>
          <w:tab w:val="center" w:pos="4201"/>
          <w:tab w:val="right" w:leader="dot" w:pos="9298"/>
        </w:tabs>
        <w:ind w:firstLine="420"/>
        <w:rPr>
          <w:rFonts w:ascii="Times New Roman"/>
          <w:kern w:val="2"/>
          <w:szCs w:val="21"/>
        </w:rPr>
      </w:pPr>
    </w:p>
    <w:p w14:paraId="45034571">
      <w:pPr>
        <w:pStyle w:val="31"/>
        <w:ind w:firstLine="0"/>
        <w:contextualSpacing/>
        <w:rPr>
          <w:rFonts w:ascii="黑体" w:hAnsi="黑体" w:eastAsia="黑体" w:cs="仿宋"/>
          <w:bCs/>
        </w:rPr>
      </w:pPr>
      <w:r>
        <w:rPr>
          <w:rFonts w:hint="eastAsia" w:ascii="黑体" w:hAnsi="黑体" w:eastAsia="黑体" w:cs="仿宋"/>
          <w:bCs/>
        </w:rPr>
        <w:t xml:space="preserve">5  </w:t>
      </w:r>
      <w:r>
        <w:rPr>
          <w:rFonts w:ascii="黑体" w:hAnsi="黑体" w:eastAsia="黑体" w:cs="仿宋"/>
          <w:bCs/>
        </w:rPr>
        <w:t>品种选择</w:t>
      </w:r>
    </w:p>
    <w:p w14:paraId="235BED4B">
      <w:pPr>
        <w:pStyle w:val="31"/>
        <w:ind w:firstLine="0"/>
        <w:contextualSpacing/>
        <w:rPr>
          <w:rFonts w:ascii="黑体" w:hAnsi="黑体" w:eastAsia="黑体" w:cs="黑体"/>
          <w:bCs/>
        </w:rPr>
      </w:pPr>
      <w:r>
        <w:rPr>
          <w:rFonts w:hint="eastAsia" w:ascii="黑体" w:hAnsi="黑体" w:eastAsia="黑体" w:cs="黑体"/>
          <w:bCs/>
        </w:rPr>
        <w:t>5.1  选择原则</w:t>
      </w:r>
    </w:p>
    <w:p w14:paraId="039A6981">
      <w:pPr>
        <w:pStyle w:val="31"/>
        <w:spacing w:before="156" w:beforeLines="50" w:after="156" w:afterLines="50" w:line="400" w:lineRule="atLeast"/>
        <w:ind w:firstLine="0"/>
        <w:contextualSpacing/>
        <w:rPr>
          <w:rFonts w:ascii="宋体" w:hAnsi="宋体" w:eastAsia="宋体" w:cs="宋体"/>
          <w:b/>
          <w:bCs/>
        </w:rPr>
      </w:pPr>
      <w:r>
        <w:rPr>
          <w:rFonts w:hint="eastAsia" w:ascii="黑体" w:hAnsi="黑体" w:eastAsia="黑体" w:cs="黑体"/>
          <w:bCs/>
        </w:rPr>
        <w:t>5.1.1</w:t>
      </w:r>
      <w:r>
        <w:rPr>
          <w:rFonts w:hint="eastAsia" w:ascii="黑体" w:hAnsi="黑体" w:eastAsia="黑体" w:cs="仿宋"/>
          <w:bCs/>
        </w:rPr>
        <w:t>已审定的品种</w:t>
      </w:r>
    </w:p>
    <w:p w14:paraId="0977BE8E">
      <w:pPr>
        <w:pStyle w:val="31"/>
        <w:spacing w:before="156" w:beforeLines="50" w:after="156" w:afterLines="50" w:line="400" w:lineRule="atLeast"/>
        <w:ind w:firstLineChars="200"/>
        <w:contextualSpacing/>
        <w:rPr>
          <w:rFonts w:ascii="宋体" w:hAnsi="宋体" w:cs="宋体"/>
        </w:rPr>
      </w:pPr>
      <w:r>
        <w:rPr>
          <w:rFonts w:hint="eastAsia" w:ascii="宋体" w:hAnsi="宋体" w:eastAsia="宋体" w:cs="宋体"/>
        </w:rPr>
        <w:t>选择通过国家或当地省审定，适宜种植区域应覆盖播种区域,符合市场需求的品种。</w:t>
      </w:r>
    </w:p>
    <w:p w14:paraId="18F40303">
      <w:pPr>
        <w:pStyle w:val="31"/>
        <w:spacing w:before="156" w:beforeLines="50" w:after="156" w:afterLines="50" w:line="400" w:lineRule="atLeast"/>
        <w:ind w:firstLine="0"/>
        <w:contextualSpacing/>
        <w:rPr>
          <w:rFonts w:ascii="宋体" w:hAnsi="宋体" w:cs="宋体"/>
          <w:b/>
          <w:bCs/>
        </w:rPr>
      </w:pPr>
      <w:r>
        <w:rPr>
          <w:rFonts w:hint="eastAsia" w:ascii="黑体" w:hAnsi="黑体" w:eastAsia="黑体" w:cs="黑体"/>
        </w:rPr>
        <w:t>5.1.2因地选种</w:t>
      </w:r>
    </w:p>
    <w:p w14:paraId="023269FA">
      <w:pPr>
        <w:pStyle w:val="31"/>
        <w:spacing w:before="156" w:beforeLines="50" w:after="156" w:afterLines="50" w:line="400" w:lineRule="atLeast"/>
        <w:ind w:firstLineChars="200"/>
        <w:contextualSpacing/>
        <w:rPr>
          <w:rFonts w:ascii="宋体" w:hAnsi="宋体" w:eastAsia="宋体" w:cs="宋体"/>
        </w:rPr>
      </w:pPr>
      <w:r>
        <w:rPr>
          <w:rFonts w:hint="eastAsia" w:ascii="宋体" w:hAnsi="宋体" w:eastAsia="宋体" w:cs="宋体"/>
        </w:rPr>
        <w:t>根据当地种植制度、气候特点和病虫害流行情况选择品种。设施栽培应选早熟品种，春季迟播和夏种应选耐热、耐湿、抗粗缩病品种。迟夏播和早秋播应选抗锈病、后期耐寒品种。</w:t>
      </w:r>
    </w:p>
    <w:p w14:paraId="1B5B4D75">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5.1.3优质种子</w:t>
      </w:r>
    </w:p>
    <w:p w14:paraId="6B63FD34">
      <w:pPr>
        <w:pStyle w:val="31"/>
        <w:spacing w:before="156" w:beforeLines="50" w:after="156" w:afterLines="50" w:line="400" w:lineRule="atLeast"/>
        <w:ind w:firstLineChars="200"/>
        <w:contextualSpacing/>
        <w:rPr>
          <w:rFonts w:ascii="宋体" w:hAnsi="宋体" w:eastAsia="宋体" w:cs="宋体"/>
        </w:rPr>
      </w:pPr>
      <w:r>
        <w:rPr>
          <w:rFonts w:hint="eastAsia" w:ascii="宋体" w:hAnsi="宋体" w:eastAsia="宋体" w:cs="宋体"/>
        </w:rPr>
        <w:t>种子质量应符合GB4404.1的规定。其中：纯度≥96%、发芽率≥85%、净度≥99%、水分≤13%。</w:t>
      </w:r>
    </w:p>
    <w:p w14:paraId="3BA4A6E8">
      <w:pPr>
        <w:pStyle w:val="31"/>
        <w:ind w:firstLine="0"/>
        <w:contextualSpacing/>
        <w:rPr>
          <w:rFonts w:ascii="黑体" w:hAnsi="黑体" w:eastAsia="黑体" w:cs="仿宋"/>
          <w:bCs/>
        </w:rPr>
      </w:pPr>
      <w:r>
        <w:rPr>
          <w:rFonts w:hint="eastAsia" w:ascii="黑体" w:hAnsi="黑体" w:eastAsia="黑体" w:cs="仿宋"/>
          <w:bCs/>
        </w:rPr>
        <w:t>5</w:t>
      </w:r>
      <w:r>
        <w:rPr>
          <w:rFonts w:ascii="黑体" w:hAnsi="黑体" w:eastAsia="黑体" w:cs="仿宋"/>
          <w:bCs/>
        </w:rPr>
        <w:t>.</w:t>
      </w:r>
      <w:r>
        <w:rPr>
          <w:rFonts w:hint="eastAsia" w:ascii="黑体" w:hAnsi="黑体" w:eastAsia="黑体" w:cs="仿宋"/>
          <w:bCs/>
        </w:rPr>
        <w:t xml:space="preserve">2  </w:t>
      </w:r>
      <w:r>
        <w:rPr>
          <w:rFonts w:ascii="黑体" w:hAnsi="黑体" w:eastAsia="黑体" w:cs="仿宋"/>
          <w:bCs/>
        </w:rPr>
        <w:t>种子处理</w:t>
      </w:r>
    </w:p>
    <w:p w14:paraId="296E8419">
      <w:pPr>
        <w:pStyle w:val="31"/>
        <w:ind w:firstLineChars="200"/>
        <w:contextualSpacing/>
        <w:rPr>
          <w:rFonts w:ascii="宋体" w:hAnsi="宋体" w:eastAsia="宋体" w:cs="宋体"/>
        </w:rPr>
      </w:pPr>
      <w:r>
        <w:rPr>
          <w:rFonts w:hint="eastAsia" w:ascii="宋体" w:hAnsi="宋体" w:eastAsia="宋体" w:cs="宋体"/>
        </w:rPr>
        <w:t>播种前精选种子，除去病斑粒、虫食粒、破损粒和杂质以及过大过小粒。播前一周晒种2-3天。可采取药剂拌种和催芽播种的方式进行播种。精选饱满的种子，清水浸24h后用广谱杀虫剂10%虫螨腈悬浮剂拌种，将种子放入容器中，表面喷适量40—45℃温水，在25—28℃条件下24h后即可出齐，芽露白时即可播种。</w:t>
      </w:r>
    </w:p>
    <w:p w14:paraId="1541E8A5">
      <w:pPr>
        <w:pStyle w:val="31"/>
        <w:ind w:firstLine="0"/>
        <w:contextualSpacing/>
        <w:rPr>
          <w:rFonts w:ascii="黑体" w:hAnsi="黑体" w:eastAsia="黑体" w:cs="仿宋"/>
          <w:bCs/>
        </w:rPr>
      </w:pPr>
      <w:r>
        <w:rPr>
          <w:rFonts w:hint="eastAsia" w:ascii="黑体" w:hAnsi="黑体" w:eastAsia="黑体" w:cs="仿宋"/>
          <w:bCs/>
        </w:rPr>
        <w:t xml:space="preserve">6  </w:t>
      </w:r>
      <w:r>
        <w:rPr>
          <w:rFonts w:ascii="黑体" w:hAnsi="黑体" w:eastAsia="黑体" w:cs="仿宋"/>
          <w:bCs/>
        </w:rPr>
        <w:t>整地</w:t>
      </w:r>
      <w:r>
        <w:rPr>
          <w:rFonts w:hint="eastAsia" w:ascii="黑体" w:hAnsi="黑体" w:eastAsia="黑体" w:cs="仿宋"/>
          <w:bCs/>
        </w:rPr>
        <w:t>与</w:t>
      </w:r>
      <w:r>
        <w:rPr>
          <w:rFonts w:ascii="黑体" w:hAnsi="黑体" w:eastAsia="黑体" w:cs="仿宋"/>
          <w:bCs/>
        </w:rPr>
        <w:t>播种</w:t>
      </w:r>
    </w:p>
    <w:p w14:paraId="7AD67747">
      <w:pPr>
        <w:pStyle w:val="31"/>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.1</w:t>
      </w:r>
      <w:r>
        <w:rPr>
          <w:rFonts w:hint="eastAsia" w:ascii="黑体" w:hAnsi="黑体" w:eastAsia="黑体" w:cs="仿宋"/>
          <w:bCs/>
        </w:rPr>
        <w:t xml:space="preserve">  </w:t>
      </w:r>
      <w:r>
        <w:rPr>
          <w:rFonts w:ascii="黑体" w:hAnsi="黑体" w:eastAsia="黑体" w:cs="仿宋"/>
          <w:bCs/>
        </w:rPr>
        <w:t>整地</w:t>
      </w:r>
    </w:p>
    <w:p w14:paraId="64519D45">
      <w:pPr>
        <w:pStyle w:val="31"/>
        <w:spacing w:before="156" w:beforeLines="50" w:after="156" w:afterLines="50" w:line="400" w:lineRule="atLeast"/>
        <w:ind w:firstLine="0"/>
        <w:contextualSpacing/>
        <w:rPr>
          <w:rFonts w:ascii="黑体" w:hAnsi="黑体" w:eastAsia="黑体" w:cs="黑体"/>
        </w:rPr>
      </w:pPr>
      <w:r>
        <w:rPr>
          <w:rFonts w:hint="eastAsia" w:ascii="黑体" w:hAnsi="黑体" w:eastAsia="黑体" w:cs="黑体"/>
        </w:rPr>
        <w:t>6.1.1前茬处理</w:t>
      </w:r>
    </w:p>
    <w:p w14:paraId="67E40F8F">
      <w:pPr>
        <w:pStyle w:val="31"/>
        <w:ind w:firstLineChars="200"/>
        <w:contextualSpacing/>
        <w:rPr>
          <w:rFonts w:ascii="宋体" w:hAnsi="宋体" w:eastAsia="宋体" w:cs="宋体"/>
        </w:rPr>
      </w:pPr>
      <w:r>
        <w:rPr>
          <w:rFonts w:hint="eastAsia" w:ascii="宋体" w:hAnsi="宋体" w:eastAsia="宋体" w:cs="宋体"/>
        </w:rPr>
        <w:t>在前茬预留空行套种，应及时扶理前茬作物，预留足够生长空间。前茬收获后种植的，应及时清除秸秆、杂草和残留农膜。</w:t>
      </w:r>
    </w:p>
    <w:p w14:paraId="56503E23">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6.1.2耕整地技术</w:t>
      </w:r>
    </w:p>
    <w:p w14:paraId="5FE5502E">
      <w:pPr>
        <w:pStyle w:val="31"/>
        <w:ind w:firstLineChars="200"/>
        <w:contextualSpacing/>
        <w:rPr>
          <w:rFonts w:ascii="宋体" w:hAnsi="宋体" w:eastAsia="宋体" w:cs="宋体"/>
        </w:rPr>
      </w:pPr>
      <w:r>
        <w:rPr>
          <w:rFonts w:hint="eastAsia" w:ascii="宋体" w:hAnsi="宋体" w:eastAsia="宋体" w:cs="宋体"/>
        </w:rPr>
        <w:t>整地技术视前茬而定，田间土块不宜过大，整地时要把土块打碎、打细、耙平。</w:t>
      </w:r>
    </w:p>
    <w:p w14:paraId="6F5CD521">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6.1.3开好排水沟</w:t>
      </w:r>
    </w:p>
    <w:p w14:paraId="7FA5D9FF">
      <w:pPr>
        <w:pStyle w:val="31"/>
        <w:ind w:firstLineChars="200"/>
        <w:contextualSpacing/>
        <w:rPr>
          <w:rFonts w:ascii="宋体" w:hAnsi="宋体" w:eastAsia="宋体" w:cs="宋体"/>
        </w:rPr>
      </w:pPr>
      <w:r>
        <w:rPr>
          <w:rFonts w:hint="eastAsia" w:ascii="宋体" w:hAnsi="宋体" w:eastAsia="宋体" w:cs="宋体"/>
        </w:rPr>
        <w:t>播种、移栽前要起垄开沟，做到围沟、畦沟、腰沟三沟配套，沟沟相通。</w:t>
      </w:r>
    </w:p>
    <w:p w14:paraId="47125950">
      <w:pPr>
        <w:pStyle w:val="31"/>
        <w:ind w:firstLine="0"/>
        <w:contextualSpacing/>
        <w:rPr>
          <w:rFonts w:ascii="黑体" w:hAnsi="黑体" w:eastAsia="黑体" w:cs="仿宋"/>
          <w:bCs/>
        </w:rPr>
      </w:pPr>
      <w:r>
        <w:rPr>
          <w:rFonts w:hint="eastAsia" w:ascii="黑体" w:hAnsi="黑体" w:eastAsia="黑体" w:cs="仿宋"/>
          <w:bCs/>
        </w:rPr>
        <w:t>6</w:t>
      </w:r>
      <w:r>
        <w:rPr>
          <w:rFonts w:ascii="黑体" w:hAnsi="黑体" w:eastAsia="黑体" w:cs="仿宋"/>
          <w:bCs/>
        </w:rPr>
        <w:t>.2</w:t>
      </w:r>
      <w:r>
        <w:rPr>
          <w:rFonts w:hint="eastAsia" w:ascii="黑体" w:hAnsi="黑体" w:eastAsia="黑体" w:cs="仿宋"/>
          <w:bCs/>
        </w:rPr>
        <w:t xml:space="preserve">  </w:t>
      </w:r>
      <w:r>
        <w:rPr>
          <w:rFonts w:ascii="黑体" w:hAnsi="黑体" w:eastAsia="黑体" w:cs="仿宋"/>
          <w:bCs/>
        </w:rPr>
        <w:t>播种</w:t>
      </w:r>
    </w:p>
    <w:p w14:paraId="23E0F5CE">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6.2.1 播期确定</w:t>
      </w:r>
    </w:p>
    <w:p w14:paraId="0402342C">
      <w:pPr>
        <w:pStyle w:val="31"/>
        <w:spacing w:before="156" w:beforeLines="50" w:after="156" w:afterLines="50" w:line="400" w:lineRule="atLeast"/>
        <w:ind w:firstLine="0"/>
        <w:contextualSpacing/>
        <w:rPr>
          <w:rFonts w:ascii="宋体" w:hAnsi="宋体" w:cs="宋体"/>
          <w:b/>
          <w:bCs/>
        </w:rPr>
      </w:pPr>
      <w:r>
        <w:rPr>
          <w:rFonts w:hint="eastAsia" w:ascii="黑体" w:hAnsi="黑体" w:eastAsia="黑体" w:cs="黑体"/>
        </w:rPr>
        <w:t>6.2.1.1根据气象因素确定播期</w:t>
      </w:r>
    </w:p>
    <w:p w14:paraId="4E98F711">
      <w:pPr>
        <w:pStyle w:val="31"/>
        <w:spacing w:before="156" w:beforeLines="50" w:after="156" w:afterLines="50" w:line="400" w:lineRule="atLeast"/>
        <w:contextualSpacing/>
        <w:rPr>
          <w:rFonts w:ascii="宋体" w:hAnsi="宋体" w:cs="宋体"/>
        </w:rPr>
      </w:pPr>
      <w:r>
        <w:rPr>
          <w:rFonts w:hint="eastAsia" w:ascii="宋体" w:hAnsi="宋体" w:eastAsia="宋体" w:cs="宋体"/>
        </w:rPr>
        <w:t>春播以5cm-10cm地温稳定通过10℃为宜。露地直播3月底4月初为宜，设施栽培可适当提前。</w:t>
      </w:r>
    </w:p>
    <w:p w14:paraId="011118A0">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秋种最迟播期应保证灌浆期气温不低于16 ℃。早中熟品种，后期若能利用大棚，可适当推迟播期。</w:t>
      </w:r>
    </w:p>
    <w:p w14:paraId="5B5397B4">
      <w:pPr>
        <w:pStyle w:val="31"/>
        <w:spacing w:before="156" w:beforeLines="50" w:after="156" w:afterLines="50" w:line="400" w:lineRule="atLeast"/>
        <w:ind w:firstLine="0"/>
        <w:contextualSpacing/>
        <w:outlineLvl w:val="0"/>
        <w:rPr>
          <w:rFonts w:ascii="宋体" w:hAnsi="宋体" w:cs="宋体"/>
          <w:b/>
          <w:bCs/>
        </w:rPr>
      </w:pPr>
      <w:r>
        <w:rPr>
          <w:rFonts w:hint="eastAsia" w:ascii="黑体" w:hAnsi="黑体" w:eastAsia="黑体" w:cs="黑体"/>
        </w:rPr>
        <w:t>6.2.1.2根据市场确定播期</w:t>
      </w:r>
    </w:p>
    <w:p w14:paraId="53E5D8A5">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播种期可根据市场情况及品种特性合理安排。可以早、中、晚品种搭配，春、夏、秋季分期播种，春播中可以设施栽培和露地栽培结合，以分期采收、均衡供应。</w:t>
      </w:r>
    </w:p>
    <w:p w14:paraId="0A34E164">
      <w:pPr>
        <w:pStyle w:val="31"/>
        <w:spacing w:before="156" w:beforeLines="50" w:after="156" w:afterLines="50" w:line="400" w:lineRule="atLeast"/>
        <w:ind w:firstLine="0"/>
        <w:contextualSpacing/>
        <w:rPr>
          <w:rFonts w:ascii="宋体" w:hAnsi="宋体" w:cs="宋体"/>
          <w:b/>
          <w:bCs/>
        </w:rPr>
      </w:pPr>
      <w:r>
        <w:rPr>
          <w:rFonts w:hint="eastAsia" w:ascii="黑体" w:hAnsi="黑体" w:eastAsia="黑体" w:cs="黑体"/>
        </w:rPr>
        <w:t>6.2.2密度确定</w:t>
      </w:r>
    </w:p>
    <w:p w14:paraId="74BC5E48">
      <w:pPr>
        <w:pStyle w:val="31"/>
        <w:spacing w:before="156" w:beforeLines="50" w:after="156" w:afterLines="50" w:line="400" w:lineRule="atLeast"/>
        <w:ind w:firstLine="0"/>
        <w:contextualSpacing/>
        <w:rPr>
          <w:rFonts w:ascii="黑体" w:hAnsi="黑体" w:eastAsia="黑体" w:cs="黑体"/>
        </w:rPr>
      </w:pPr>
      <w:r>
        <w:rPr>
          <w:rFonts w:hint="eastAsia" w:ascii="黑体" w:hAnsi="黑体" w:eastAsia="黑体" w:cs="黑体"/>
        </w:rPr>
        <w:t>6.2.2.1根据品种特性确定密度</w:t>
      </w:r>
    </w:p>
    <w:p w14:paraId="5AE40E89">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株型紧凑、矮秆、抗倒、生育期短的品种宜密，反之宜稀。一般矮秆、耐密植品种密度在4500株/亩，高秆品种在3000-3500株/亩。</w:t>
      </w:r>
    </w:p>
    <w:p w14:paraId="7C0F5F5C">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6.2.2.2根据种植条件确定密度</w:t>
      </w:r>
    </w:p>
    <w:p w14:paraId="42CAAFAD">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土壤肥力条件好，或施肥水平高的，密度可适当提高。精细管理的宜密，反之宜稀。</w:t>
      </w:r>
    </w:p>
    <w:p w14:paraId="79BAE620">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6.2.2.3根据气候条件确定密度</w:t>
      </w:r>
    </w:p>
    <w:p w14:paraId="1E4B197D">
      <w:pPr>
        <w:pStyle w:val="31"/>
        <w:spacing w:before="156" w:beforeLines="50" w:after="156" w:afterLines="50" w:line="400" w:lineRule="atLeast"/>
        <w:contextualSpacing/>
        <w:rPr>
          <w:rFonts w:ascii="宋体" w:hAnsi="宋体" w:cs="宋体"/>
        </w:rPr>
      </w:pPr>
      <w:r>
        <w:rPr>
          <w:rFonts w:hint="eastAsia" w:ascii="宋体" w:hAnsi="宋体" w:eastAsia="宋体" w:cs="宋体"/>
        </w:rPr>
        <w:t>春季播种的生育期长，后期易遇梅雨、台风影响，密度应比夏、秋播稀一些。</w:t>
      </w:r>
    </w:p>
    <w:p w14:paraId="11E5C93C">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6.2.3行、株距确定</w:t>
      </w:r>
    </w:p>
    <w:p w14:paraId="24B44A34">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净作种植，等行距时，一般行距60cm；宽窄行种植，一般大行距90cm，小行距30cm。株距（cm）﹦6670000（cm2）÷ 行距（cm）÷ 密度（株/亩）</w:t>
      </w:r>
    </w:p>
    <w:p w14:paraId="6BF9BA68">
      <w:pPr>
        <w:pStyle w:val="31"/>
        <w:spacing w:before="156" w:beforeLines="50" w:after="156" w:afterLines="50" w:line="400" w:lineRule="atLeast"/>
        <w:ind w:firstLine="0"/>
        <w:contextualSpacing/>
        <w:outlineLvl w:val="0"/>
        <w:rPr>
          <w:rFonts w:ascii="宋体" w:hAnsi="宋体" w:cs="宋体"/>
          <w:b/>
          <w:bCs/>
        </w:rPr>
      </w:pPr>
      <w:r>
        <w:rPr>
          <w:rFonts w:hint="eastAsia" w:ascii="黑体" w:hAnsi="黑体" w:eastAsia="黑体" w:cs="黑体"/>
        </w:rPr>
        <w:t>6.2.4播种量确定</w:t>
      </w:r>
    </w:p>
    <w:p w14:paraId="3A3099F9">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田间条件、种子质量好，可每穴单粒播种；反之每穴播2-3粒。每亩需种量，单粒播种可按以下公式计算，若每穴播2-3粒种子，则相应扩大2-3倍。</w:t>
      </w:r>
    </w:p>
    <w:p w14:paraId="1F74F1E9">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每亩需种量（kg）﹦种子千粒重（g）÷（种子出苗率×106）× 计划种植密度（株/亩）</w:t>
      </w:r>
    </w:p>
    <w:p w14:paraId="56F8F161">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6.2.5精细播种</w:t>
      </w:r>
    </w:p>
    <w:p w14:paraId="24A5B0CB">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播种沟深度控制在3cm-5cm，沟深一致，视墒情浇足底水。播后细土覆盖、不露籽。</w:t>
      </w:r>
    </w:p>
    <w:p w14:paraId="3709C469">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6.2.6喷施封闭性除草剂</w:t>
      </w:r>
    </w:p>
    <w:p w14:paraId="3EF8B2A5">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净作玉米地，播后出苗前土壤较湿润时，趁墒进行“封闭”除草。间、套作田块需选择对玉米和其它作物都安全的除草剂。</w:t>
      </w:r>
    </w:p>
    <w:p w14:paraId="509DA7DD">
      <w:pPr>
        <w:pStyle w:val="31"/>
        <w:ind w:firstLine="0"/>
        <w:contextualSpacing/>
        <w:rPr>
          <w:rFonts w:ascii="黑体" w:hAnsi="黑体" w:eastAsia="黑体" w:cs="仿宋"/>
          <w:bCs/>
        </w:rPr>
      </w:pPr>
    </w:p>
    <w:p w14:paraId="100DA8FC">
      <w:pPr>
        <w:pStyle w:val="31"/>
        <w:ind w:firstLine="0"/>
        <w:contextualSpacing/>
        <w:rPr>
          <w:rFonts w:ascii="黑体" w:hAnsi="黑体" w:eastAsia="黑体" w:cs="仿宋"/>
          <w:bCs/>
        </w:rPr>
      </w:pPr>
      <w:r>
        <w:rPr>
          <w:rFonts w:hint="eastAsia" w:ascii="黑体" w:hAnsi="黑体" w:eastAsia="黑体" w:cs="仿宋"/>
          <w:bCs/>
        </w:rPr>
        <w:t xml:space="preserve">7  </w:t>
      </w:r>
      <w:r>
        <w:rPr>
          <w:rFonts w:ascii="黑体" w:hAnsi="黑体" w:eastAsia="黑体" w:cs="仿宋"/>
          <w:bCs/>
        </w:rPr>
        <w:t>田间管理</w:t>
      </w:r>
    </w:p>
    <w:p w14:paraId="34E7BF4C">
      <w:pPr>
        <w:pStyle w:val="31"/>
        <w:spacing w:before="156" w:beforeLines="50" w:after="156" w:afterLines="50" w:line="400" w:lineRule="atLeast"/>
        <w:ind w:firstLine="0"/>
        <w:contextualSpacing/>
        <w:rPr>
          <w:rFonts w:ascii="黑体" w:hAnsi="黑体" w:eastAsia="黑体" w:cs="黑体"/>
        </w:rPr>
      </w:pPr>
      <w:r>
        <w:rPr>
          <w:rFonts w:hint="eastAsia" w:ascii="黑体" w:hAnsi="黑体" w:eastAsia="黑体" w:cs="黑体"/>
        </w:rPr>
        <w:t>7.1灌排</w:t>
      </w:r>
    </w:p>
    <w:p w14:paraId="2B048FA2">
      <w:pPr>
        <w:pStyle w:val="31"/>
        <w:spacing w:before="156" w:beforeLines="50" w:after="156" w:afterLines="50" w:line="400" w:lineRule="atLeast"/>
        <w:ind w:firstLine="0"/>
        <w:contextualSpacing/>
        <w:rPr>
          <w:rFonts w:ascii="宋体" w:hAnsi="宋体" w:cs="宋体"/>
          <w:b/>
          <w:bCs/>
        </w:rPr>
      </w:pPr>
      <w:r>
        <w:rPr>
          <w:rFonts w:hint="eastAsia" w:ascii="黑体" w:hAnsi="黑体" w:eastAsia="黑体" w:cs="黑体"/>
        </w:rPr>
        <w:t>7.1.1苗期水分管理</w:t>
      </w:r>
      <w:r>
        <w:rPr>
          <w:rFonts w:hint="eastAsia" w:ascii="宋体" w:hAnsi="宋体" w:cs="宋体"/>
          <w:b/>
          <w:bCs/>
        </w:rPr>
        <w:t xml:space="preserve"> </w:t>
      </w:r>
    </w:p>
    <w:p w14:paraId="790DFCB0">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苗期底墒不足或天气干旱，需及时灌水。</w:t>
      </w:r>
    </w:p>
    <w:p w14:paraId="4430B7DB">
      <w:pPr>
        <w:pStyle w:val="31"/>
        <w:spacing w:before="156" w:beforeLines="50" w:after="156" w:afterLines="50" w:line="400" w:lineRule="atLeast"/>
        <w:ind w:firstLine="0"/>
        <w:contextualSpacing/>
        <w:outlineLvl w:val="0"/>
        <w:rPr>
          <w:rFonts w:ascii="宋体" w:hAnsi="宋体" w:cs="宋体"/>
        </w:rPr>
      </w:pPr>
      <w:r>
        <w:rPr>
          <w:rFonts w:hint="eastAsia" w:ascii="黑体" w:hAnsi="黑体" w:eastAsia="黑体" w:cs="黑体"/>
        </w:rPr>
        <w:t>7.1.2穗期水分管理</w:t>
      </w:r>
    </w:p>
    <w:p w14:paraId="59C82D33">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拔节至小喇叭口期应适度控水，促进根系生长。大喇叭口期至抽雄期为需水临界期，如遇干旱，应及时灌水；若雨水过多，则应排涝降渍。</w:t>
      </w:r>
    </w:p>
    <w:p w14:paraId="5978285C">
      <w:pPr>
        <w:pStyle w:val="31"/>
        <w:spacing w:before="156" w:beforeLines="50" w:after="156" w:afterLines="50" w:line="400" w:lineRule="atLeast"/>
        <w:ind w:firstLine="0"/>
        <w:contextualSpacing/>
        <w:outlineLvl w:val="0"/>
        <w:rPr>
          <w:rFonts w:ascii="宋体" w:hAnsi="宋体" w:cs="宋体"/>
          <w:b/>
          <w:bCs/>
        </w:rPr>
      </w:pPr>
      <w:r>
        <w:rPr>
          <w:rFonts w:hint="eastAsia" w:ascii="黑体" w:hAnsi="黑体" w:eastAsia="黑体" w:cs="黑体"/>
        </w:rPr>
        <w:t>7.1.3花粒期水分管理</w:t>
      </w:r>
    </w:p>
    <w:p w14:paraId="5AD453FB">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乳熟前期应保持田间适宜水分，延长叶片功能期，增加粒重；后期应适当控水，提高品质，利于收获。</w:t>
      </w:r>
    </w:p>
    <w:p w14:paraId="5BFE2164">
      <w:pPr>
        <w:pStyle w:val="31"/>
        <w:spacing w:before="156" w:beforeLines="50" w:after="156" w:afterLines="50" w:line="400" w:lineRule="atLeast"/>
        <w:ind w:firstLine="0"/>
        <w:contextualSpacing/>
        <w:rPr>
          <w:rFonts w:ascii="黑体" w:hAnsi="黑体" w:eastAsia="黑体" w:cs="黑体"/>
        </w:rPr>
      </w:pPr>
      <w:r>
        <w:rPr>
          <w:rFonts w:hint="eastAsia" w:ascii="黑体" w:hAnsi="黑体" w:eastAsia="黑体" w:cs="黑体"/>
        </w:rPr>
        <w:t>7.2施肥</w:t>
      </w:r>
    </w:p>
    <w:p w14:paraId="5F1A2CB3">
      <w:pPr>
        <w:pStyle w:val="31"/>
        <w:spacing w:before="156" w:beforeLines="50" w:after="156" w:afterLines="50" w:line="400" w:lineRule="atLeast"/>
        <w:ind w:firstLine="0"/>
        <w:contextualSpacing/>
        <w:rPr>
          <w:rFonts w:ascii="宋体" w:hAnsi="宋体" w:cs="宋体"/>
          <w:b/>
          <w:bCs/>
        </w:rPr>
      </w:pPr>
      <w:r>
        <w:rPr>
          <w:rFonts w:hint="eastAsia" w:ascii="黑体" w:hAnsi="黑体" w:eastAsia="黑体" w:cs="黑体"/>
        </w:rPr>
        <w:t>7.2.1施肥原则</w:t>
      </w:r>
    </w:p>
    <w:p w14:paraId="7BF647DE">
      <w:pPr>
        <w:pStyle w:val="31"/>
        <w:spacing w:before="156" w:beforeLines="50" w:after="156" w:afterLines="50" w:line="400" w:lineRule="atLeast"/>
        <w:ind w:firstLine="0"/>
        <w:contextualSpacing/>
        <w:rPr>
          <w:rFonts w:ascii="宋体" w:hAnsi="宋体" w:eastAsia="宋体" w:cs="宋体"/>
        </w:rPr>
      </w:pPr>
      <w:r>
        <w:rPr>
          <w:rFonts w:hint="eastAsia" w:ascii="宋体" w:hAnsi="宋体" w:cs="宋体"/>
          <w:b/>
          <w:bCs/>
        </w:rPr>
        <w:t xml:space="preserve">   </w:t>
      </w:r>
      <w:r>
        <w:rPr>
          <w:rFonts w:hint="eastAsia" w:ascii="宋体" w:hAnsi="宋体" w:eastAsia="宋体" w:cs="宋体"/>
        </w:rPr>
        <w:t>肥料使用应符合NY/T 394的规定。</w:t>
      </w:r>
    </w:p>
    <w:p w14:paraId="74EFDC7A">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7.2.1基肥、种肥施用</w:t>
      </w:r>
    </w:p>
    <w:p w14:paraId="177ABFBA">
      <w:pPr>
        <w:pStyle w:val="31"/>
        <w:spacing w:before="156" w:beforeLines="50" w:after="156" w:afterLines="50" w:line="400" w:lineRule="atLeast"/>
        <w:contextualSpacing/>
        <w:rPr>
          <w:rFonts w:ascii="宋体" w:hAnsi="宋体" w:cs="宋体"/>
        </w:rPr>
      </w:pPr>
      <w:r>
        <w:rPr>
          <w:rFonts w:hint="eastAsia" w:ascii="宋体" w:hAnsi="宋体" w:eastAsia="宋体" w:cs="宋体"/>
        </w:rPr>
        <w:t>结合整地，施用优质农家肥作基肥。一般中等肥力田块可施腐熟有机肥1500kg-2000kg/亩。种肥以促为主，可施优质N、P、K三元复合肥25kg-30kg/亩，在种子行边5cm处开沟施用。</w:t>
      </w:r>
    </w:p>
    <w:p w14:paraId="18DD5BC2">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7.2.2苗期追肥</w:t>
      </w:r>
    </w:p>
    <w:p w14:paraId="6FF63F07">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直播定苗或移栽后7d-10d施用苗肥，可用尿素10kg-15kg/亩。在距植株10cm-15cm处，采用沟施或穴施，然后覆土盖严。</w:t>
      </w:r>
    </w:p>
    <w:p w14:paraId="2C5CD44D">
      <w:pPr>
        <w:pStyle w:val="31"/>
        <w:spacing w:before="156" w:beforeLines="50" w:after="156" w:afterLines="50" w:line="400" w:lineRule="atLeast"/>
        <w:ind w:firstLine="0"/>
        <w:contextualSpacing/>
        <w:outlineLvl w:val="0"/>
        <w:rPr>
          <w:rFonts w:ascii="宋体" w:hAnsi="宋体" w:cs="宋体"/>
          <w:b/>
          <w:bCs/>
        </w:rPr>
      </w:pPr>
      <w:r>
        <w:rPr>
          <w:rFonts w:hint="eastAsia" w:ascii="黑体" w:hAnsi="黑体" w:eastAsia="黑体" w:cs="黑体"/>
        </w:rPr>
        <w:t>7.2.3重施穗肥</w:t>
      </w:r>
    </w:p>
    <w:p w14:paraId="4EE025DC">
      <w:pPr>
        <w:pStyle w:val="31"/>
        <w:spacing w:before="156" w:beforeLines="50" w:after="156" w:afterLines="50" w:line="400" w:lineRule="atLeast"/>
        <w:ind w:firstLine="0"/>
        <w:contextualSpacing/>
        <w:rPr>
          <w:rFonts w:ascii="宋体" w:hAnsi="宋体" w:eastAsia="宋体" w:cs="宋体"/>
        </w:rPr>
      </w:pPr>
      <w:r>
        <w:rPr>
          <w:rFonts w:hint="eastAsia" w:ascii="宋体" w:hAnsi="宋体" w:cs="宋体"/>
        </w:rPr>
        <w:t xml:space="preserve">    </w:t>
      </w:r>
      <w:r>
        <w:rPr>
          <w:rFonts w:hint="eastAsia" w:ascii="宋体" w:hAnsi="宋体" w:eastAsia="宋体" w:cs="宋体"/>
        </w:rPr>
        <w:t>小喇叭口期至大喇叭口期需施穗肥，以速效氮肥为主。一般亩施尿素20kg，可在行间距植株10cm处打穴或开沟深施。</w:t>
      </w:r>
    </w:p>
    <w:p w14:paraId="6940A464">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7.2.4补施粒肥</w:t>
      </w:r>
    </w:p>
    <w:p w14:paraId="259F1853">
      <w:pPr>
        <w:pStyle w:val="31"/>
        <w:spacing w:before="156" w:beforeLines="50" w:after="156" w:afterLines="50" w:line="400" w:lineRule="atLeast"/>
        <w:ind w:firstLineChars="200"/>
        <w:contextualSpacing/>
        <w:rPr>
          <w:rFonts w:ascii="宋体" w:hAnsi="宋体" w:eastAsia="宋体" w:cs="宋体"/>
        </w:rPr>
      </w:pPr>
      <w:r>
        <w:rPr>
          <w:rFonts w:hint="eastAsia" w:ascii="宋体" w:hAnsi="宋体" w:eastAsia="宋体" w:cs="宋体"/>
        </w:rPr>
        <w:t>鲜食玉米一般不施粒肥，但若穗肥不足，发生脱肥的，可在开花吐丝时视玉米长势适当少施。</w:t>
      </w:r>
    </w:p>
    <w:p w14:paraId="48279DF5">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7.3病虫害防治</w:t>
      </w:r>
    </w:p>
    <w:p w14:paraId="10232DF6">
      <w:pPr>
        <w:spacing w:line="400" w:lineRule="atLeast"/>
        <w:contextualSpacing/>
        <w:rPr>
          <w:rFonts w:ascii="黑体" w:hAnsi="黑体" w:eastAsia="黑体" w:cs="黑体"/>
          <w:szCs w:val="21"/>
        </w:rPr>
      </w:pPr>
      <w:r>
        <w:rPr>
          <w:rFonts w:hint="eastAsia" w:ascii="黑体" w:hAnsi="黑体" w:eastAsia="黑体" w:cs="黑体"/>
          <w:szCs w:val="21"/>
        </w:rPr>
        <w:t>7.3.1 防治原则</w:t>
      </w:r>
    </w:p>
    <w:p w14:paraId="6E53D903">
      <w:pPr>
        <w:pStyle w:val="31"/>
        <w:spacing w:before="156" w:beforeLines="50" w:after="156" w:afterLines="50" w:line="400" w:lineRule="atLeast"/>
        <w:ind w:firstLineChars="200"/>
        <w:contextualSpacing/>
        <w:rPr>
          <w:rFonts w:ascii="宋体" w:hAnsi="宋体" w:eastAsia="宋体" w:cs="宋体"/>
        </w:rPr>
      </w:pPr>
      <w:r>
        <w:rPr>
          <w:rFonts w:hint="eastAsia" w:ascii="宋体" w:hAnsi="宋体" w:eastAsia="宋体" w:cs="宋体"/>
        </w:rPr>
        <w:t>根据NY/T393要求，采用农业防治和生物防治相结合，创造不利病虫害而利于各类天敌繁衍的环境条件，保持农业生态系统的平衡和生物多样性，减少各类病虫害所造成的损失。</w:t>
      </w:r>
    </w:p>
    <w:p w14:paraId="3F5971F1">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7.3.2常见病虫害</w:t>
      </w:r>
    </w:p>
    <w:p w14:paraId="04558BD9">
      <w:pPr>
        <w:pStyle w:val="31"/>
        <w:spacing w:before="156" w:beforeLines="50" w:after="156" w:afterLines="50" w:line="400" w:lineRule="atLeast"/>
        <w:ind w:firstLineChars="200"/>
        <w:contextualSpacing/>
        <w:rPr>
          <w:rFonts w:ascii="宋体" w:hAnsi="宋体" w:eastAsia="宋体" w:cs="宋体"/>
        </w:rPr>
      </w:pPr>
      <w:r>
        <w:rPr>
          <w:rFonts w:hint="eastAsia" w:ascii="宋体" w:hAnsi="宋体" w:eastAsia="宋体" w:cs="宋体"/>
        </w:rPr>
        <w:t>苗期虫害有地老虎、甜菜夜蛾、粘虫等；穗期雨季，易诱发纹枯病、大小斑病，虫害主要是玉米螟；花粒期纹枯病、大小斑病、锈病加重为害，丝黑穗病、茎腐病、穗腐病在此期显症；花粒期是果穗害虫为害的高峰期，伴有玉米螟、粘虫等虫害。</w:t>
      </w:r>
    </w:p>
    <w:p w14:paraId="5CD20D66">
      <w:pPr>
        <w:pStyle w:val="31"/>
        <w:spacing w:before="156" w:beforeLines="50" w:after="156" w:afterLines="50" w:line="400" w:lineRule="atLeast"/>
        <w:ind w:firstLine="0"/>
        <w:contextualSpacing/>
        <w:rPr>
          <w:rFonts w:ascii="黑体" w:hAnsi="黑体" w:eastAsia="黑体" w:cs="黑体"/>
        </w:rPr>
      </w:pPr>
      <w:r>
        <w:rPr>
          <w:rFonts w:hint="eastAsia" w:ascii="黑体" w:hAnsi="黑体" w:eastAsia="黑体" w:cs="黑体"/>
        </w:rPr>
        <w:t>7.3.3防治措施</w:t>
      </w:r>
    </w:p>
    <w:p w14:paraId="65B72606">
      <w:pPr>
        <w:pStyle w:val="31"/>
        <w:spacing w:before="156" w:beforeLines="50" w:after="156" w:afterLines="50" w:line="400" w:lineRule="atLeast"/>
        <w:ind w:firstLine="0"/>
        <w:contextualSpacing/>
        <w:rPr>
          <w:rFonts w:ascii="黑体" w:hAnsi="黑体" w:eastAsia="黑体" w:cs="黑体"/>
        </w:rPr>
      </w:pPr>
      <w:r>
        <w:rPr>
          <w:rFonts w:hint="eastAsia" w:ascii="黑体" w:hAnsi="黑体" w:eastAsia="黑体" w:cs="黑体"/>
          <w:b/>
          <w:bCs/>
        </w:rPr>
        <w:t>7.3.3.1农业防治</w:t>
      </w:r>
    </w:p>
    <w:p w14:paraId="0F8E6679">
      <w:pPr>
        <w:pStyle w:val="31"/>
        <w:spacing w:before="156" w:beforeLines="50" w:after="156" w:afterLines="50" w:line="400" w:lineRule="atLeast"/>
        <w:ind w:firstLineChars="200"/>
        <w:contextualSpacing/>
        <w:rPr>
          <w:rFonts w:ascii="宋体" w:hAnsi="宋体" w:eastAsia="宋体" w:cs="宋体"/>
        </w:rPr>
      </w:pPr>
      <w:r>
        <w:rPr>
          <w:rFonts w:hint="eastAsia" w:ascii="宋体" w:hAnsi="宋体" w:eastAsia="宋体" w:cs="宋体"/>
        </w:rPr>
        <w:t>选择高产抗病抗虫品种；合理轮作，调整耕作制度，合理间作、混作、轮作；实施规范化种植，实施南北行、宽行窄株规格化种植，改善田间通风透光条件，降低湿度，创造不利于病虫害滋生的小气候条件。</w:t>
      </w:r>
    </w:p>
    <w:p w14:paraId="36A4301F">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7.3.3.2物理防治</w:t>
      </w:r>
    </w:p>
    <w:p w14:paraId="0BB05DC8">
      <w:pPr>
        <w:pStyle w:val="31"/>
        <w:spacing w:before="156" w:beforeLines="50" w:after="156" w:afterLines="50" w:line="400" w:lineRule="atLeast"/>
        <w:ind w:firstLineChars="200"/>
        <w:contextualSpacing/>
        <w:rPr>
          <w:rFonts w:ascii="宋体" w:hAnsi="宋体" w:eastAsia="宋体" w:cs="宋体"/>
        </w:rPr>
      </w:pPr>
      <w:r>
        <w:rPr>
          <w:rFonts w:hint="eastAsia" w:ascii="宋体" w:hAnsi="宋体" w:eastAsia="宋体" w:cs="宋体"/>
        </w:rPr>
        <w:t>利用有害昆虫趋光、趋色等特点，应用黄板，黑光灯、频振式杀虫灯和性诱剂诱虫、杀虫；鲜穗采收后及时处理茎秆，可青贮成饲料后过腹还田，也可粉碎后深埋还田或堆沤成肥料后还田等，消灭越冬虫体。</w:t>
      </w:r>
    </w:p>
    <w:p w14:paraId="563619B6">
      <w:pPr>
        <w:pStyle w:val="31"/>
        <w:spacing w:before="156" w:beforeLines="50" w:after="156" w:afterLines="50" w:line="400" w:lineRule="atLeast"/>
        <w:ind w:firstLine="0"/>
        <w:contextualSpacing/>
        <w:outlineLvl w:val="0"/>
        <w:rPr>
          <w:rFonts w:ascii="黑体" w:hAnsi="黑体" w:eastAsia="黑体" w:cs="黑体"/>
          <w:b/>
          <w:bCs/>
        </w:rPr>
      </w:pPr>
      <w:r>
        <w:rPr>
          <w:rFonts w:hint="eastAsia" w:ascii="黑体" w:hAnsi="黑体" w:eastAsia="黑体" w:cs="黑体"/>
          <w:b/>
          <w:bCs/>
        </w:rPr>
        <w:t>7.3.3.3生物防治</w:t>
      </w:r>
    </w:p>
    <w:p w14:paraId="3315D738">
      <w:pPr>
        <w:pStyle w:val="31"/>
        <w:spacing w:before="156" w:beforeLines="50" w:after="156" w:afterLines="50" w:line="400" w:lineRule="atLeast"/>
        <w:ind w:firstLineChars="200"/>
        <w:contextualSpacing/>
        <w:rPr>
          <w:rFonts w:ascii="宋体" w:hAnsi="宋体" w:eastAsia="宋体" w:cs="宋体"/>
        </w:rPr>
      </w:pPr>
      <w:r>
        <w:rPr>
          <w:rFonts w:hint="eastAsia" w:ascii="宋体" w:hAnsi="宋体" w:eastAsia="宋体" w:cs="宋体"/>
        </w:rPr>
        <w:t>发挥多物种相生相克作用，打乱病虫害生活规律，减少危害的时间与程度，积极保护和利用天敌防治病虫害；采用苏云金杆菌(BT)、球孢白僵菌等生物源农药防治病虫害。</w:t>
      </w:r>
    </w:p>
    <w:p w14:paraId="5F4F2801">
      <w:pPr>
        <w:pStyle w:val="31"/>
        <w:spacing w:before="156" w:beforeLines="50" w:after="156" w:afterLines="50" w:line="400" w:lineRule="atLeast"/>
        <w:ind w:firstLine="0"/>
        <w:contextualSpacing/>
        <w:outlineLvl w:val="0"/>
        <w:rPr>
          <w:rFonts w:ascii="宋体" w:hAnsi="宋体" w:cs="宋体"/>
          <w:bCs/>
          <w:color w:val="FF0000"/>
        </w:rPr>
      </w:pPr>
      <w:r>
        <w:rPr>
          <w:rFonts w:hint="eastAsia" w:ascii="黑体" w:hAnsi="黑体" w:eastAsia="黑体" w:cs="黑体"/>
        </w:rPr>
        <w:t>7.3.3.4化学防治</w:t>
      </w:r>
    </w:p>
    <w:p w14:paraId="77567E5A">
      <w:pPr>
        <w:pStyle w:val="31"/>
        <w:spacing w:before="156" w:beforeLines="50" w:after="156" w:afterLines="50" w:line="400" w:lineRule="atLeast"/>
        <w:contextualSpacing/>
        <w:rPr>
          <w:rFonts w:ascii="宋体" w:hAnsi="宋体" w:cs="宋体"/>
        </w:rPr>
      </w:pPr>
      <w:r>
        <w:rPr>
          <w:rFonts w:hint="eastAsia" w:ascii="宋体" w:hAnsi="宋体" w:eastAsia="宋体" w:cs="宋体"/>
        </w:rPr>
        <w:t>病虫害的化学防治参见附录A。</w:t>
      </w:r>
    </w:p>
    <w:p w14:paraId="6CDD5613">
      <w:pPr>
        <w:pStyle w:val="31"/>
        <w:spacing w:before="156" w:beforeLines="50" w:after="156" w:afterLines="50" w:line="400" w:lineRule="atLeast"/>
        <w:ind w:firstLine="0"/>
        <w:contextualSpacing/>
        <w:rPr>
          <w:rFonts w:ascii="黑体" w:hAnsi="黑体" w:eastAsia="黑体" w:cs="黑体"/>
          <w:b/>
          <w:bCs/>
        </w:rPr>
      </w:pPr>
      <w:r>
        <w:rPr>
          <w:rFonts w:hint="eastAsia" w:ascii="黑体" w:hAnsi="黑体" w:eastAsia="黑体" w:cs="黑体"/>
        </w:rPr>
        <w:t>7.4其他管理措施</w:t>
      </w:r>
    </w:p>
    <w:p w14:paraId="3A28AC8A">
      <w:pPr>
        <w:pStyle w:val="31"/>
        <w:spacing w:before="156" w:beforeLines="50" w:after="156" w:afterLines="50" w:line="400" w:lineRule="atLeast"/>
        <w:ind w:firstLine="0"/>
        <w:contextualSpacing/>
        <w:rPr>
          <w:rFonts w:ascii="黑体" w:hAnsi="黑体" w:eastAsia="黑体" w:cs="黑体"/>
        </w:rPr>
      </w:pPr>
      <w:r>
        <w:rPr>
          <w:rFonts w:hint="eastAsia" w:ascii="黑体" w:hAnsi="黑体" w:eastAsia="黑体" w:cs="黑体"/>
        </w:rPr>
        <w:t>7.4.1适时间苗和定苗</w:t>
      </w:r>
    </w:p>
    <w:p w14:paraId="46185459">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一般4-5叶定苗。对地下害虫较严重的地块，可推迟1个叶龄定苗。间、定苗应按计划密度，去弱留壮，如缺苗可同行或邻行就近留双株。缺苗断垄严重的要及时催芽补种或带土移栽。育苗移栽的，发现缺苗要及时补栽。</w:t>
      </w:r>
    </w:p>
    <w:p w14:paraId="5830B649">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7.4.2中耕培土</w:t>
      </w:r>
    </w:p>
    <w:p w14:paraId="1337C151">
      <w:pPr>
        <w:pStyle w:val="31"/>
        <w:spacing w:before="156" w:beforeLines="50" w:after="156" w:afterLines="50" w:line="400" w:lineRule="atLeast"/>
        <w:contextualSpacing/>
        <w:rPr>
          <w:rFonts w:ascii="宋体" w:hAnsi="宋体" w:cs="宋体"/>
        </w:rPr>
      </w:pPr>
      <w:r>
        <w:rPr>
          <w:rFonts w:hint="eastAsia" w:ascii="宋体" w:hAnsi="宋体" w:eastAsia="宋体" w:cs="宋体"/>
        </w:rPr>
        <w:t>以拔节至小喇叭口期培土为宜。将行间、畦沟土培到玉米基部形成土垄，畦高15cm-25cm。</w:t>
      </w:r>
    </w:p>
    <w:p w14:paraId="57D76F4E">
      <w:pPr>
        <w:pStyle w:val="30"/>
        <w:tabs>
          <w:tab w:val="center" w:pos="4201"/>
          <w:tab w:val="right" w:leader="dot" w:pos="9298"/>
        </w:tabs>
        <w:ind w:firstLine="420"/>
        <w:rPr>
          <w:rFonts w:ascii="Times New Roman"/>
          <w:kern w:val="2"/>
          <w:szCs w:val="21"/>
        </w:rPr>
      </w:pPr>
    </w:p>
    <w:p w14:paraId="06C757D0">
      <w:pPr>
        <w:pStyle w:val="31"/>
        <w:ind w:firstLine="0"/>
        <w:contextualSpacing/>
        <w:rPr>
          <w:rFonts w:ascii="黑体" w:hAnsi="黑体" w:eastAsia="黑体" w:cs="仿宋"/>
          <w:bCs/>
        </w:rPr>
      </w:pPr>
      <w:r>
        <w:rPr>
          <w:rFonts w:hint="eastAsia" w:ascii="黑体" w:hAnsi="黑体" w:eastAsia="黑体" w:cs="仿宋"/>
          <w:bCs/>
        </w:rPr>
        <w:t xml:space="preserve">8  </w:t>
      </w:r>
      <w:r>
        <w:rPr>
          <w:rFonts w:ascii="黑体" w:hAnsi="黑体" w:eastAsia="黑体" w:cs="仿宋"/>
          <w:bCs/>
        </w:rPr>
        <w:t>采收</w:t>
      </w:r>
    </w:p>
    <w:p w14:paraId="61060650">
      <w:pPr>
        <w:pStyle w:val="31"/>
        <w:spacing w:before="156" w:beforeLines="50" w:after="156" w:afterLines="50" w:line="400" w:lineRule="atLeast"/>
        <w:ind w:firstLine="0"/>
        <w:contextualSpacing/>
        <w:rPr>
          <w:rFonts w:ascii="黑体" w:hAnsi="黑体" w:eastAsia="黑体" w:cs="黑体"/>
        </w:rPr>
      </w:pPr>
      <w:r>
        <w:rPr>
          <w:rFonts w:hint="eastAsia" w:ascii="黑体" w:hAnsi="黑体" w:eastAsia="黑体" w:cs="黑体"/>
        </w:rPr>
        <w:t>8.1最佳采收期</w:t>
      </w:r>
    </w:p>
    <w:p w14:paraId="212CB1DC">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果穗花丝枯萎转深褐色、籽粒饱满、手掐中部籽粒有浓浆时为采收适期。</w:t>
      </w:r>
    </w:p>
    <w:p w14:paraId="3675E784">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8.2采收与销售</w:t>
      </w:r>
    </w:p>
    <w:p w14:paraId="41ECE531">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鲜穗带苞叶采收，采收后按果穗大小及老嫩进行分级，并用无公害、透气性好的包装材料包装。采收后6h内完成保鲜处理，12h内完成加工预处理。</w:t>
      </w:r>
    </w:p>
    <w:p w14:paraId="7197C361">
      <w:pPr>
        <w:pStyle w:val="31"/>
        <w:ind w:firstLine="0"/>
        <w:contextualSpacing/>
        <w:rPr>
          <w:rFonts w:ascii="黑体" w:hAnsi="黑体" w:eastAsia="黑体" w:cs="仿宋"/>
          <w:bCs/>
        </w:rPr>
      </w:pPr>
    </w:p>
    <w:p w14:paraId="6898C181">
      <w:pPr>
        <w:pStyle w:val="31"/>
        <w:ind w:firstLine="0"/>
        <w:contextualSpacing/>
        <w:rPr>
          <w:rFonts w:ascii="黑体" w:hAnsi="黑体" w:eastAsia="黑体" w:cs="仿宋"/>
          <w:bCs/>
        </w:rPr>
      </w:pPr>
      <w:r>
        <w:rPr>
          <w:rFonts w:hint="eastAsia" w:ascii="黑体" w:hAnsi="黑体" w:eastAsia="黑体" w:cs="仿宋"/>
          <w:bCs/>
        </w:rPr>
        <w:t xml:space="preserve">10  </w:t>
      </w:r>
      <w:r>
        <w:rPr>
          <w:rFonts w:ascii="黑体" w:hAnsi="黑体" w:eastAsia="黑体" w:cs="仿宋"/>
          <w:bCs/>
        </w:rPr>
        <w:t>生产废弃物的处理</w:t>
      </w:r>
    </w:p>
    <w:p w14:paraId="123925E6">
      <w:pPr>
        <w:pStyle w:val="31"/>
        <w:spacing w:before="156" w:beforeLines="50" w:after="156" w:afterLines="50" w:line="400" w:lineRule="atLeast"/>
        <w:ind w:firstLine="0"/>
        <w:contextualSpacing/>
        <w:rPr>
          <w:rFonts w:ascii="黑体" w:hAnsi="黑体" w:eastAsia="黑体" w:cs="黑体"/>
        </w:rPr>
      </w:pPr>
      <w:r>
        <w:rPr>
          <w:rFonts w:hint="eastAsia" w:ascii="黑体" w:hAnsi="黑体" w:eastAsia="黑体" w:cs="黑体"/>
        </w:rPr>
        <w:t>10.1秸秆利用</w:t>
      </w:r>
    </w:p>
    <w:p w14:paraId="33E4C6F2">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鲜果穗采收后及时刈割饲喂或加工青贮。</w:t>
      </w:r>
    </w:p>
    <w:p w14:paraId="581A4BBD">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10.2地膜回收</w:t>
      </w:r>
    </w:p>
    <w:p w14:paraId="35A83B1C">
      <w:pPr>
        <w:pStyle w:val="31"/>
        <w:spacing w:before="156" w:beforeLines="50" w:after="156" w:afterLines="50" w:line="400" w:lineRule="atLeast"/>
        <w:ind w:firstLine="0"/>
        <w:contextualSpacing/>
        <w:rPr>
          <w:rFonts w:ascii="宋体" w:hAnsi="宋体" w:eastAsia="宋体" w:cs="宋体"/>
        </w:rPr>
      </w:pPr>
      <w:r>
        <w:rPr>
          <w:rFonts w:hint="eastAsia" w:ascii="宋体" w:hAnsi="宋体" w:cs="宋体"/>
        </w:rPr>
        <w:t xml:space="preserve">    </w:t>
      </w:r>
      <w:r>
        <w:rPr>
          <w:rFonts w:hint="eastAsia" w:ascii="宋体" w:hAnsi="宋体" w:eastAsia="宋体" w:cs="宋体"/>
        </w:rPr>
        <w:t>彻底清除残膜，推广使用高标准地膜，建立健全回收利用体系，建立"以旧换新"激励机制。</w:t>
      </w:r>
    </w:p>
    <w:p w14:paraId="41FE31CA">
      <w:pPr>
        <w:pStyle w:val="31"/>
        <w:ind w:firstLine="0"/>
        <w:contextualSpacing/>
        <w:rPr>
          <w:rFonts w:ascii="黑体" w:hAnsi="黑体" w:eastAsia="黑体" w:cs="仿宋"/>
          <w:bCs/>
        </w:rPr>
      </w:pPr>
    </w:p>
    <w:p w14:paraId="1DF2D4C6">
      <w:pPr>
        <w:pStyle w:val="31"/>
        <w:ind w:firstLine="0"/>
        <w:contextualSpacing/>
        <w:rPr>
          <w:rFonts w:ascii="黑体" w:hAnsi="黑体" w:eastAsia="黑体" w:cs="仿宋"/>
          <w:bCs/>
        </w:rPr>
      </w:pPr>
      <w:r>
        <w:rPr>
          <w:rFonts w:hint="eastAsia" w:ascii="黑体" w:hAnsi="黑体" w:eastAsia="黑体" w:cs="仿宋"/>
          <w:bCs/>
        </w:rPr>
        <w:t xml:space="preserve">11  </w:t>
      </w:r>
      <w:r>
        <w:rPr>
          <w:rFonts w:hint="eastAsia" w:ascii="黑体" w:hAnsi="黑体" w:eastAsia="黑体" w:cs="黑体"/>
        </w:rPr>
        <w:t>运输储藏</w:t>
      </w:r>
    </w:p>
    <w:p w14:paraId="3A6C01C8">
      <w:pPr>
        <w:pStyle w:val="31"/>
        <w:spacing w:before="156" w:beforeLines="50" w:after="156" w:afterLines="50" w:line="400" w:lineRule="atLeast"/>
        <w:ind w:firstLine="0"/>
        <w:contextualSpacing/>
        <w:rPr>
          <w:rFonts w:ascii="黑体" w:hAnsi="黑体" w:eastAsia="黑体" w:cs="黑体"/>
        </w:rPr>
      </w:pPr>
      <w:r>
        <w:rPr>
          <w:rFonts w:hint="eastAsia" w:ascii="黑体" w:hAnsi="黑体" w:eastAsia="黑体" w:cs="黑体"/>
        </w:rPr>
        <w:t>11.1运输</w:t>
      </w:r>
    </w:p>
    <w:p w14:paraId="6C52C6DD">
      <w:pPr>
        <w:pStyle w:val="31"/>
        <w:spacing w:before="156" w:beforeLines="50" w:after="156" w:afterLines="50" w:line="400" w:lineRule="atLeast"/>
        <w:contextualSpacing/>
        <w:rPr>
          <w:rFonts w:ascii="宋体" w:hAnsi="宋体" w:cs="宋体"/>
        </w:rPr>
      </w:pPr>
      <w:r>
        <w:rPr>
          <w:rFonts w:hint="eastAsia" w:ascii="宋体" w:hAnsi="宋体" w:eastAsia="宋体" w:cs="宋体"/>
        </w:rPr>
        <w:t>运输工具应清洁、卫生，运输过程须防雨、防暴晒。严禁与有毒有害、有异味、易污染的物品混装、混运。</w:t>
      </w:r>
    </w:p>
    <w:p w14:paraId="4E6067C4">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11.2储藏</w:t>
      </w:r>
    </w:p>
    <w:p w14:paraId="3781A05B">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应储藏于清洁卫生、通风、防潮、防鼠、无异味的库房中，应隔墙离地，严禁与有毒、有害、有异味、易污染的物品混放。</w:t>
      </w:r>
    </w:p>
    <w:p w14:paraId="01B76277">
      <w:pPr>
        <w:pStyle w:val="31"/>
        <w:ind w:firstLine="0"/>
        <w:contextualSpacing/>
        <w:rPr>
          <w:rFonts w:ascii="黑体" w:hAnsi="黑体" w:eastAsia="黑体" w:cs="仿宋"/>
          <w:bCs/>
        </w:rPr>
      </w:pPr>
    </w:p>
    <w:p w14:paraId="14346AAA">
      <w:pPr>
        <w:pStyle w:val="31"/>
        <w:ind w:firstLine="0"/>
        <w:contextualSpacing/>
        <w:rPr>
          <w:rFonts w:ascii="黑体" w:hAnsi="黑体" w:eastAsia="黑体" w:cs="仿宋"/>
          <w:bCs/>
        </w:rPr>
      </w:pPr>
      <w:r>
        <w:rPr>
          <w:rFonts w:ascii="黑体" w:hAnsi="黑体" w:eastAsia="黑体" w:cs="仿宋"/>
          <w:bCs/>
        </w:rPr>
        <w:t>1</w:t>
      </w:r>
      <w:r>
        <w:rPr>
          <w:rFonts w:hint="eastAsia" w:ascii="黑体" w:hAnsi="黑体" w:eastAsia="黑体" w:cs="仿宋"/>
          <w:bCs/>
        </w:rPr>
        <w:t xml:space="preserve">2  </w:t>
      </w:r>
      <w:r>
        <w:rPr>
          <w:rFonts w:ascii="黑体" w:hAnsi="黑体" w:eastAsia="黑体" w:cs="仿宋"/>
          <w:bCs/>
        </w:rPr>
        <w:t>生产档案管理</w:t>
      </w:r>
    </w:p>
    <w:p w14:paraId="134243E3">
      <w:pPr>
        <w:pStyle w:val="31"/>
        <w:spacing w:before="156" w:beforeLines="50" w:after="156" w:afterLines="50" w:line="400" w:lineRule="atLeast"/>
        <w:ind w:firstLine="0"/>
        <w:contextualSpacing/>
        <w:rPr>
          <w:rFonts w:ascii="黑体" w:hAnsi="黑体" w:eastAsia="黑体" w:cs="黑体"/>
        </w:rPr>
      </w:pPr>
      <w:r>
        <w:rPr>
          <w:rFonts w:hint="eastAsia" w:ascii="黑体" w:hAnsi="黑体" w:eastAsia="黑体" w:cs="黑体"/>
        </w:rPr>
        <w:t>12.1鲜食玉米生产过程管理</w:t>
      </w:r>
    </w:p>
    <w:p w14:paraId="306E6248">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应建立統一完善的绿色食品生产管理体系。建立“统一优良品种、统一生产操作规程、统一投入品供应、统一田间管理、统一收获管理”五统一”生产管理制度。</w:t>
      </w:r>
    </w:p>
    <w:p w14:paraId="172D4F1E">
      <w:pPr>
        <w:pStyle w:val="31"/>
        <w:spacing w:before="156" w:beforeLines="50" w:after="156" w:afterLines="50" w:line="400" w:lineRule="atLeast"/>
        <w:ind w:firstLine="0"/>
        <w:contextualSpacing/>
        <w:outlineLvl w:val="0"/>
        <w:rPr>
          <w:rFonts w:ascii="黑体" w:hAnsi="黑体" w:eastAsia="黑体" w:cs="黑体"/>
        </w:rPr>
      </w:pPr>
      <w:r>
        <w:rPr>
          <w:rFonts w:hint="eastAsia" w:ascii="黑体" w:hAnsi="黑体" w:eastAsia="黑体" w:cs="黑体"/>
        </w:rPr>
        <w:t>12.2生产管理档案制度和质量可追溯制度</w:t>
      </w:r>
    </w:p>
    <w:p w14:paraId="7B925431">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建立统一的农户档案制度，农户档案包括农户姓名、品种及种植面积。建立统一的田间生产管理记录,由农户如实填写，内容包括品种、种植面积、播种时间、土壤耕作及施肥情况、病虫草害防治情况、收获记录、仓储记录、交售记录等。田间生产管理记录应完整保存三年以上。</w:t>
      </w:r>
    </w:p>
    <w:p w14:paraId="2A1CEF77">
      <w:pPr>
        <w:pStyle w:val="31"/>
        <w:spacing w:before="156" w:beforeLines="50" w:after="156" w:afterLines="50" w:line="400" w:lineRule="atLeast"/>
        <w:ind w:firstLine="0"/>
        <w:contextualSpacing/>
        <w:outlineLvl w:val="0"/>
        <w:rPr>
          <w:rFonts w:ascii="宋体" w:hAnsi="宋体" w:cs="宋体"/>
        </w:rPr>
      </w:pPr>
      <w:r>
        <w:rPr>
          <w:rFonts w:hint="eastAsia" w:ascii="黑体" w:hAnsi="黑体" w:eastAsia="黑体" w:cs="黑体"/>
        </w:rPr>
        <w:t>12.3标识管理</w:t>
      </w:r>
    </w:p>
    <w:p w14:paraId="133EFB91">
      <w:pPr>
        <w:pStyle w:val="31"/>
        <w:spacing w:before="156" w:beforeLines="50" w:after="156" w:afterLines="50" w:line="400" w:lineRule="atLeast"/>
        <w:contextualSpacing/>
        <w:rPr>
          <w:rFonts w:ascii="宋体" w:hAnsi="宋体" w:eastAsia="宋体" w:cs="宋体"/>
        </w:rPr>
      </w:pPr>
      <w:r>
        <w:rPr>
          <w:rFonts w:hint="eastAsia" w:ascii="宋体" w:hAnsi="宋体" w:eastAsia="宋体" w:cs="宋体"/>
        </w:rPr>
        <w:t>鲜食玉米生产基地应在显要位置设置基地标识牌，标明基地名称、基地范围、基地面积、基地建设单位、基地栽培品种、主要技术措施、有效期等内容。</w:t>
      </w:r>
    </w:p>
    <w:p w14:paraId="35E9E26A">
      <w:pPr>
        <w:spacing w:line="400" w:lineRule="atLeast"/>
        <w:ind w:firstLine="420" w:firstLineChars="200"/>
        <w:contextualSpacing/>
        <w:jc w:val="center"/>
        <w:rPr>
          <w:rFonts w:ascii="黑体" w:hAnsi="Times New Roman" w:eastAsia="黑体" w:cs="Times New Roman"/>
          <w:kern w:val="0"/>
          <w:szCs w:val="21"/>
        </w:rPr>
      </w:pPr>
    </w:p>
    <w:p w14:paraId="1CAB160E">
      <w:pPr>
        <w:spacing w:line="400" w:lineRule="atLeast"/>
        <w:ind w:firstLine="420" w:firstLineChars="200"/>
        <w:contextualSpacing/>
        <w:jc w:val="center"/>
        <w:rPr>
          <w:rFonts w:ascii="黑体" w:hAnsi="Times New Roman" w:eastAsia="黑体" w:cs="Times New Roman"/>
          <w:kern w:val="0"/>
          <w:szCs w:val="21"/>
        </w:rPr>
      </w:pPr>
    </w:p>
    <w:p w14:paraId="48F7374A">
      <w:pPr>
        <w:spacing w:line="400" w:lineRule="atLeast"/>
        <w:ind w:firstLine="420" w:firstLineChars="200"/>
        <w:contextualSpacing/>
        <w:jc w:val="center"/>
        <w:rPr>
          <w:rFonts w:ascii="黑体" w:hAnsi="Times New Roman" w:eastAsia="黑体" w:cs="Times New Roman"/>
          <w:kern w:val="0"/>
          <w:szCs w:val="21"/>
        </w:rPr>
      </w:pPr>
      <w:r>
        <w:rPr>
          <w:rFonts w:hint="eastAsia" w:ascii="黑体" w:hAnsi="Times New Roman" w:eastAsia="黑体" w:cs="Times New Roman"/>
          <w:kern w:val="0"/>
          <w:szCs w:val="21"/>
        </w:rPr>
        <w:t>附录A</w:t>
      </w:r>
    </w:p>
    <w:p w14:paraId="05374C81">
      <w:pPr>
        <w:spacing w:line="400" w:lineRule="atLeast"/>
        <w:ind w:firstLine="420" w:firstLineChars="200"/>
        <w:contextualSpacing/>
        <w:jc w:val="center"/>
        <w:rPr>
          <w:rFonts w:ascii="黑体" w:hAnsi="Times New Roman" w:eastAsia="黑体" w:cs="Times New Roman"/>
          <w:kern w:val="0"/>
          <w:szCs w:val="21"/>
        </w:rPr>
      </w:pPr>
      <w:r>
        <w:rPr>
          <w:rFonts w:hint="eastAsia" w:ascii="黑体" w:hAnsi="Times New Roman" w:eastAsia="黑体" w:cs="Times New Roman"/>
          <w:kern w:val="0"/>
          <w:szCs w:val="21"/>
        </w:rPr>
        <w:t>（资料性附录）</w:t>
      </w:r>
    </w:p>
    <w:p w14:paraId="6176FEA4">
      <w:pPr>
        <w:spacing w:line="400" w:lineRule="atLeast"/>
        <w:ind w:firstLine="420" w:firstLineChars="200"/>
        <w:contextualSpacing/>
        <w:jc w:val="center"/>
        <w:rPr>
          <w:rFonts w:ascii="黑体" w:hAnsi="Times New Roman" w:eastAsia="黑体" w:cs="Times New Roman"/>
          <w:kern w:val="0"/>
          <w:szCs w:val="21"/>
        </w:rPr>
      </w:pPr>
      <w:r>
        <w:rPr>
          <w:rFonts w:hint="eastAsia" w:ascii="黑体" w:hAnsi="Times New Roman" w:eastAsia="黑体" w:cs="Times New Roman"/>
          <w:kern w:val="0"/>
          <w:szCs w:val="21"/>
        </w:rPr>
        <w:t>秦岭淮河以南  绿色食品</w:t>
      </w:r>
      <w:r>
        <w:rPr>
          <w:rFonts w:hint="eastAsia" w:ascii="黑体" w:hAnsi="黑体" w:eastAsia="黑体"/>
          <w:szCs w:val="21"/>
        </w:rPr>
        <w:t>鲜食玉米</w:t>
      </w:r>
      <w:r>
        <w:rPr>
          <w:rFonts w:hint="eastAsia" w:ascii="黑体" w:hAnsi="Times New Roman" w:eastAsia="黑体" w:cs="Times New Roman"/>
          <w:kern w:val="0"/>
          <w:szCs w:val="21"/>
        </w:rPr>
        <w:t>生产主要病虫害防治推荐农药使用方案</w:t>
      </w:r>
    </w:p>
    <w:tbl>
      <w:tblPr>
        <w:tblStyle w:val="10"/>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729"/>
        <w:gridCol w:w="2738"/>
        <w:gridCol w:w="1646"/>
        <w:gridCol w:w="1092"/>
        <w:gridCol w:w="1310"/>
      </w:tblGrid>
      <w:tr w14:paraId="3EB3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5" w:type="dxa"/>
            <w:vAlign w:val="center"/>
          </w:tcPr>
          <w:p w14:paraId="4434FE5B">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防治对象</w:t>
            </w:r>
          </w:p>
        </w:tc>
        <w:tc>
          <w:tcPr>
            <w:tcW w:w="1729" w:type="dxa"/>
            <w:vAlign w:val="center"/>
          </w:tcPr>
          <w:p w14:paraId="208B68A4">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防治时期</w:t>
            </w:r>
          </w:p>
        </w:tc>
        <w:tc>
          <w:tcPr>
            <w:tcW w:w="2738" w:type="dxa"/>
            <w:vAlign w:val="center"/>
          </w:tcPr>
          <w:p w14:paraId="789B5479">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农药名称</w:t>
            </w:r>
          </w:p>
        </w:tc>
        <w:tc>
          <w:tcPr>
            <w:tcW w:w="1646" w:type="dxa"/>
            <w:vAlign w:val="center"/>
          </w:tcPr>
          <w:p w14:paraId="745B8185">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亩用量</w:t>
            </w:r>
          </w:p>
        </w:tc>
        <w:tc>
          <w:tcPr>
            <w:tcW w:w="1092" w:type="dxa"/>
            <w:vAlign w:val="center"/>
          </w:tcPr>
          <w:p w14:paraId="17083340">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使用方法</w:t>
            </w:r>
          </w:p>
        </w:tc>
        <w:tc>
          <w:tcPr>
            <w:tcW w:w="1310" w:type="dxa"/>
            <w:vAlign w:val="center"/>
          </w:tcPr>
          <w:p w14:paraId="0678C29F">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安全间隔期（天）</w:t>
            </w:r>
          </w:p>
        </w:tc>
      </w:tr>
      <w:tr w14:paraId="75E0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5" w:type="dxa"/>
            <w:vAlign w:val="center"/>
          </w:tcPr>
          <w:p w14:paraId="2100D678">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丝黑穗病</w:t>
            </w:r>
          </w:p>
        </w:tc>
        <w:tc>
          <w:tcPr>
            <w:tcW w:w="1729" w:type="dxa"/>
            <w:vAlign w:val="center"/>
          </w:tcPr>
          <w:p w14:paraId="665872E1">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播种前</w:t>
            </w:r>
          </w:p>
        </w:tc>
        <w:tc>
          <w:tcPr>
            <w:tcW w:w="2738" w:type="dxa"/>
            <w:vAlign w:val="center"/>
          </w:tcPr>
          <w:p w14:paraId="7C5583BF">
            <w:pPr>
              <w:widowControl/>
              <w:adjustRightInd w:val="0"/>
              <w:snapToGrid w:val="0"/>
              <w:jc w:val="center"/>
              <w:rPr>
                <w:rFonts w:ascii="宋体" w:hAnsi="宋体" w:eastAsia="宋体" w:cs="宋体"/>
                <w:kern w:val="0"/>
                <w:szCs w:val="21"/>
              </w:rPr>
            </w:pPr>
            <w:r>
              <w:rPr>
                <w:rFonts w:hint="eastAsia" w:ascii="宋体" w:hAnsi="宋体" w:eastAsia="宋体" w:cs="宋体"/>
                <w:szCs w:val="21"/>
                <w:shd w:val="clear" w:color="auto" w:fill="FFFFFF"/>
              </w:rPr>
              <w:t>15%三唑酮可湿性粉剂</w:t>
            </w:r>
          </w:p>
        </w:tc>
        <w:tc>
          <w:tcPr>
            <w:tcW w:w="1646" w:type="dxa"/>
            <w:vAlign w:val="center"/>
          </w:tcPr>
          <w:p w14:paraId="083B754F">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1:166.7～250（药种比）</w:t>
            </w:r>
          </w:p>
        </w:tc>
        <w:tc>
          <w:tcPr>
            <w:tcW w:w="1092" w:type="dxa"/>
            <w:vAlign w:val="center"/>
          </w:tcPr>
          <w:p w14:paraId="7B4BA1B1">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拌种</w:t>
            </w:r>
          </w:p>
        </w:tc>
        <w:tc>
          <w:tcPr>
            <w:tcW w:w="1310" w:type="dxa"/>
            <w:vAlign w:val="center"/>
          </w:tcPr>
          <w:p w14:paraId="1DA272BD">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20</w:t>
            </w:r>
          </w:p>
        </w:tc>
      </w:tr>
      <w:tr w14:paraId="0913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5" w:type="dxa"/>
            <w:vAlign w:val="center"/>
          </w:tcPr>
          <w:p w14:paraId="761D0D8B">
            <w:pPr>
              <w:widowControl/>
              <w:adjustRightInd w:val="0"/>
              <w:snapToGrid w:val="0"/>
              <w:jc w:val="center"/>
              <w:rPr>
                <w:rFonts w:ascii="宋体" w:hAnsi="宋体" w:eastAsia="宋体" w:cs="宋体"/>
                <w:kern w:val="0"/>
                <w:szCs w:val="21"/>
              </w:rPr>
            </w:pPr>
            <w:bookmarkStart w:id="2" w:name="OLE_LINK1"/>
            <w:r>
              <w:rPr>
                <w:rFonts w:hint="eastAsia" w:ascii="宋体" w:hAnsi="宋体" w:eastAsia="宋体" w:cs="宋体"/>
                <w:kern w:val="0"/>
                <w:szCs w:val="21"/>
              </w:rPr>
              <w:t>大斑病、小斑病</w:t>
            </w:r>
            <w:bookmarkEnd w:id="2"/>
          </w:p>
        </w:tc>
        <w:tc>
          <w:tcPr>
            <w:tcW w:w="1729" w:type="dxa"/>
            <w:vAlign w:val="center"/>
          </w:tcPr>
          <w:p w14:paraId="6D234DE0">
            <w:pPr>
              <w:widowControl/>
              <w:adjustRightInd w:val="0"/>
              <w:snapToGrid w:val="0"/>
              <w:jc w:val="center"/>
              <w:rPr>
                <w:rFonts w:ascii="宋体" w:hAnsi="宋体" w:eastAsia="宋体" w:cs="宋体"/>
                <w:kern w:val="0"/>
                <w:szCs w:val="21"/>
              </w:rPr>
            </w:pPr>
            <w:bookmarkStart w:id="3" w:name="OLE_LINK4"/>
            <w:r>
              <w:rPr>
                <w:rFonts w:hint="eastAsia" w:ascii="宋体" w:hAnsi="宋体" w:eastAsia="宋体" w:cs="宋体"/>
                <w:kern w:val="0"/>
                <w:szCs w:val="21"/>
              </w:rPr>
              <w:t>病害发生初期</w:t>
            </w:r>
            <w:bookmarkEnd w:id="3"/>
          </w:p>
        </w:tc>
        <w:tc>
          <w:tcPr>
            <w:tcW w:w="2738" w:type="dxa"/>
            <w:vAlign w:val="center"/>
          </w:tcPr>
          <w:p w14:paraId="375D527C">
            <w:pPr>
              <w:widowControl/>
              <w:adjustRightInd w:val="0"/>
              <w:snapToGrid w:val="0"/>
              <w:jc w:val="center"/>
              <w:rPr>
                <w:rFonts w:ascii="宋体" w:hAnsi="宋体" w:eastAsia="宋体" w:cs="宋体"/>
                <w:color w:val="FF0000"/>
                <w:kern w:val="0"/>
                <w:szCs w:val="21"/>
              </w:rPr>
            </w:pPr>
            <w:r>
              <w:rPr>
                <w:rFonts w:hint="eastAsia" w:ascii="宋体" w:hAnsi="宋体" w:eastAsia="宋体" w:cs="宋体"/>
                <w:color w:val="000000" w:themeColor="text1"/>
                <w:szCs w:val="21"/>
                <w:shd w:val="clear" w:color="auto" w:fill="FFFFFF"/>
                <w14:textFill>
                  <w14:solidFill>
                    <w14:schemeClr w14:val="tx1"/>
                  </w14:solidFill>
                </w14:textFill>
              </w:rPr>
              <w:t>30%肟菌·戊唑醇悬浮剂</w:t>
            </w:r>
          </w:p>
        </w:tc>
        <w:tc>
          <w:tcPr>
            <w:tcW w:w="1646" w:type="dxa"/>
            <w:vAlign w:val="center"/>
          </w:tcPr>
          <w:p w14:paraId="77D64BB8">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40～50ml</w:t>
            </w:r>
          </w:p>
        </w:tc>
        <w:tc>
          <w:tcPr>
            <w:tcW w:w="1092" w:type="dxa"/>
            <w:vAlign w:val="center"/>
          </w:tcPr>
          <w:p w14:paraId="17890B9F">
            <w:pPr>
              <w:widowControl/>
              <w:adjustRightInd w:val="0"/>
              <w:snapToGrid w:val="0"/>
              <w:jc w:val="center"/>
              <w:rPr>
                <w:rFonts w:ascii="宋体" w:hAnsi="宋体" w:eastAsia="宋体" w:cs="宋体"/>
                <w:kern w:val="0"/>
                <w:szCs w:val="21"/>
              </w:rPr>
            </w:pPr>
            <w:bookmarkStart w:id="4" w:name="OLE_LINK2"/>
            <w:r>
              <w:rPr>
                <w:rFonts w:hint="eastAsia" w:ascii="宋体" w:hAnsi="宋体" w:eastAsia="宋体" w:cs="宋体"/>
                <w:kern w:val="0"/>
                <w:szCs w:val="21"/>
              </w:rPr>
              <w:t>喷雾</w:t>
            </w:r>
            <w:bookmarkEnd w:id="4"/>
          </w:p>
        </w:tc>
        <w:tc>
          <w:tcPr>
            <w:tcW w:w="1310" w:type="dxa"/>
            <w:vAlign w:val="center"/>
          </w:tcPr>
          <w:p w14:paraId="31971F0A">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21</w:t>
            </w:r>
          </w:p>
        </w:tc>
      </w:tr>
      <w:tr w14:paraId="385B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5" w:type="dxa"/>
            <w:vAlign w:val="center"/>
          </w:tcPr>
          <w:p w14:paraId="3E5F8506">
            <w:pPr>
              <w:rPr>
                <w:rFonts w:ascii="宋体" w:hAnsi="宋体" w:eastAsia="宋体" w:cs="宋体"/>
                <w:kern w:val="0"/>
                <w:szCs w:val="21"/>
              </w:rPr>
            </w:pPr>
            <w:r>
              <w:rPr>
                <w:rFonts w:hint="eastAsia" w:ascii="宋体" w:hAnsi="宋体" w:eastAsia="宋体" w:cs="宋体"/>
                <w:kern w:val="0"/>
                <w:szCs w:val="21"/>
              </w:rPr>
              <w:t>大斑病、小斑病</w:t>
            </w:r>
          </w:p>
        </w:tc>
        <w:tc>
          <w:tcPr>
            <w:tcW w:w="1729" w:type="dxa"/>
            <w:vAlign w:val="center"/>
          </w:tcPr>
          <w:p w14:paraId="7D041ECE">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病害发生初期</w:t>
            </w:r>
          </w:p>
        </w:tc>
        <w:tc>
          <w:tcPr>
            <w:tcW w:w="2738" w:type="dxa"/>
            <w:vAlign w:val="center"/>
          </w:tcPr>
          <w:p w14:paraId="25A25EDC">
            <w:pPr>
              <w:widowControl/>
              <w:adjustRightInd w:val="0"/>
              <w:snapToGrid w:val="0"/>
              <w:jc w:val="center"/>
              <w:rPr>
                <w:rFonts w:ascii="宋体" w:hAnsi="宋体" w:eastAsia="宋体" w:cs="宋体"/>
                <w:szCs w:val="21"/>
                <w:shd w:val="clear" w:color="auto" w:fill="FFFFFF"/>
              </w:rPr>
            </w:pPr>
            <w:r>
              <w:rPr>
                <w:rFonts w:hint="eastAsia" w:ascii="宋体" w:hAnsi="宋体" w:eastAsia="宋体" w:cs="宋体"/>
                <w:szCs w:val="21"/>
                <w:shd w:val="clear" w:color="auto" w:fill="FFFFFF"/>
              </w:rPr>
              <w:t>18.7％丙环·嘧菌酯悬乳剂</w:t>
            </w:r>
          </w:p>
        </w:tc>
        <w:tc>
          <w:tcPr>
            <w:tcW w:w="1646" w:type="dxa"/>
            <w:vAlign w:val="center"/>
          </w:tcPr>
          <w:p w14:paraId="2277C9EB">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50～70ml</w:t>
            </w:r>
          </w:p>
        </w:tc>
        <w:tc>
          <w:tcPr>
            <w:tcW w:w="1092" w:type="dxa"/>
            <w:vAlign w:val="center"/>
          </w:tcPr>
          <w:p w14:paraId="3D7C5678">
            <w:pPr>
              <w:widowControl/>
              <w:adjustRightInd w:val="0"/>
              <w:snapToGrid w:val="0"/>
              <w:jc w:val="center"/>
              <w:rPr>
                <w:rFonts w:ascii="宋体" w:hAnsi="宋体" w:eastAsia="宋体" w:cs="宋体"/>
                <w:kern w:val="0"/>
                <w:szCs w:val="21"/>
              </w:rPr>
            </w:pPr>
            <w:bookmarkStart w:id="5" w:name="OLE_LINK5"/>
            <w:r>
              <w:rPr>
                <w:rFonts w:hint="eastAsia" w:ascii="宋体" w:hAnsi="宋体" w:eastAsia="宋体" w:cs="宋体"/>
                <w:kern w:val="0"/>
                <w:szCs w:val="21"/>
              </w:rPr>
              <w:t>喷雾</w:t>
            </w:r>
            <w:bookmarkEnd w:id="5"/>
          </w:p>
        </w:tc>
        <w:tc>
          <w:tcPr>
            <w:tcW w:w="1310" w:type="dxa"/>
            <w:vAlign w:val="center"/>
          </w:tcPr>
          <w:p w14:paraId="52E473D5">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30</w:t>
            </w:r>
          </w:p>
        </w:tc>
      </w:tr>
      <w:tr w14:paraId="78BB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5" w:type="dxa"/>
            <w:vAlign w:val="center"/>
          </w:tcPr>
          <w:p w14:paraId="3B10DD1A">
            <w:pPr>
              <w:widowControl/>
              <w:adjustRightInd w:val="0"/>
              <w:snapToGrid w:val="0"/>
              <w:jc w:val="center"/>
              <w:rPr>
                <w:rFonts w:ascii="宋体" w:hAnsi="宋体" w:eastAsia="宋体" w:cs="宋体"/>
                <w:kern w:val="0"/>
                <w:szCs w:val="21"/>
              </w:rPr>
            </w:pPr>
            <w:bookmarkStart w:id="6" w:name="OLE_LINK7"/>
            <w:r>
              <w:rPr>
                <w:rFonts w:hint="eastAsia" w:ascii="宋体" w:hAnsi="宋体" w:eastAsia="宋体" w:cs="宋体"/>
                <w:kern w:val="0"/>
                <w:szCs w:val="21"/>
              </w:rPr>
              <w:t>灰斑病</w:t>
            </w:r>
            <w:bookmarkEnd w:id="6"/>
          </w:p>
        </w:tc>
        <w:tc>
          <w:tcPr>
            <w:tcW w:w="1729" w:type="dxa"/>
            <w:vAlign w:val="center"/>
          </w:tcPr>
          <w:p w14:paraId="3E3300CE">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病害发生初期</w:t>
            </w:r>
          </w:p>
        </w:tc>
        <w:tc>
          <w:tcPr>
            <w:tcW w:w="2738" w:type="dxa"/>
            <w:vAlign w:val="center"/>
          </w:tcPr>
          <w:p w14:paraId="3C7BA5AD">
            <w:pPr>
              <w:widowControl/>
              <w:adjustRightInd w:val="0"/>
              <w:snapToGrid w:val="0"/>
              <w:jc w:val="center"/>
              <w:rPr>
                <w:rFonts w:ascii="宋体" w:hAnsi="宋体" w:eastAsia="宋体" w:cs="宋体"/>
                <w:kern w:val="0"/>
                <w:szCs w:val="21"/>
              </w:rPr>
            </w:pPr>
            <w:r>
              <w:rPr>
                <w:rFonts w:hint="eastAsia" w:ascii="宋体" w:hAnsi="宋体" w:eastAsia="宋体" w:cs="宋体"/>
                <w:szCs w:val="21"/>
                <w:shd w:val="clear" w:color="auto" w:fill="FFFFFF"/>
              </w:rPr>
              <w:t>75%肟菌·戊唑醇水分散粒剂</w:t>
            </w:r>
          </w:p>
        </w:tc>
        <w:tc>
          <w:tcPr>
            <w:tcW w:w="1646" w:type="dxa"/>
            <w:vAlign w:val="center"/>
          </w:tcPr>
          <w:p w14:paraId="1D590772">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15～20g</w:t>
            </w:r>
          </w:p>
        </w:tc>
        <w:tc>
          <w:tcPr>
            <w:tcW w:w="1092" w:type="dxa"/>
            <w:vAlign w:val="center"/>
          </w:tcPr>
          <w:p w14:paraId="7A3EFA3D">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喷雾</w:t>
            </w:r>
          </w:p>
        </w:tc>
        <w:tc>
          <w:tcPr>
            <w:tcW w:w="1310" w:type="dxa"/>
            <w:vAlign w:val="center"/>
          </w:tcPr>
          <w:p w14:paraId="675F89A5">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14</w:t>
            </w:r>
          </w:p>
        </w:tc>
      </w:tr>
      <w:tr w14:paraId="6D5A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5" w:type="dxa"/>
            <w:vMerge w:val="restart"/>
            <w:vAlign w:val="center"/>
          </w:tcPr>
          <w:p w14:paraId="6CC3B835">
            <w:pPr>
              <w:widowControl/>
              <w:adjustRightInd w:val="0"/>
              <w:snapToGrid w:val="0"/>
              <w:jc w:val="center"/>
              <w:rPr>
                <w:rFonts w:ascii="宋体" w:hAnsi="宋体" w:eastAsia="宋体" w:cs="宋体"/>
                <w:kern w:val="0"/>
                <w:szCs w:val="21"/>
              </w:rPr>
            </w:pPr>
            <w:bookmarkStart w:id="7" w:name="OLE_LINK3"/>
            <w:r>
              <w:rPr>
                <w:rFonts w:hint="eastAsia" w:ascii="宋体" w:hAnsi="宋体" w:eastAsia="宋体" w:cs="宋体"/>
                <w:kern w:val="0"/>
                <w:szCs w:val="21"/>
              </w:rPr>
              <w:t>玉米螟</w:t>
            </w:r>
            <w:bookmarkEnd w:id="7"/>
          </w:p>
        </w:tc>
        <w:tc>
          <w:tcPr>
            <w:tcW w:w="1729" w:type="dxa"/>
            <w:vAlign w:val="center"/>
          </w:tcPr>
          <w:p w14:paraId="0FF6CF76">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低龄幼虫期</w:t>
            </w:r>
          </w:p>
        </w:tc>
        <w:tc>
          <w:tcPr>
            <w:tcW w:w="2738" w:type="dxa"/>
            <w:vAlign w:val="center"/>
          </w:tcPr>
          <w:p w14:paraId="6C237B40">
            <w:pPr>
              <w:widowControl/>
              <w:adjustRightInd w:val="0"/>
              <w:snapToGrid w:val="0"/>
              <w:jc w:val="center"/>
              <w:rPr>
                <w:rFonts w:ascii="宋体" w:hAnsi="宋体" w:eastAsia="宋体" w:cs="宋体"/>
                <w:kern w:val="0"/>
                <w:szCs w:val="21"/>
              </w:rPr>
            </w:pPr>
            <w:r>
              <w:rPr>
                <w:rFonts w:hint="eastAsia" w:ascii="宋体" w:hAnsi="宋体" w:eastAsia="宋体" w:cs="宋体"/>
                <w:szCs w:val="21"/>
                <w:shd w:val="clear" w:color="auto" w:fill="FFFFFF"/>
              </w:rPr>
              <w:t>32000IU/毫克苏云金杆菌可湿性粉剂</w:t>
            </w:r>
          </w:p>
        </w:tc>
        <w:tc>
          <w:tcPr>
            <w:tcW w:w="1646" w:type="dxa"/>
            <w:vAlign w:val="center"/>
          </w:tcPr>
          <w:p w14:paraId="0E2C1B41">
            <w:pPr>
              <w:widowControl/>
              <w:adjustRightInd w:val="0"/>
              <w:snapToGrid w:val="0"/>
              <w:jc w:val="center"/>
              <w:rPr>
                <w:rFonts w:ascii="宋体" w:hAnsi="宋体" w:eastAsia="宋体" w:cs="宋体"/>
                <w:kern w:val="0"/>
                <w:szCs w:val="21"/>
              </w:rPr>
            </w:pPr>
            <w:r>
              <w:rPr>
                <w:rFonts w:hint="eastAsia" w:ascii="宋体" w:hAnsi="宋体" w:eastAsia="宋体" w:cs="宋体"/>
                <w:szCs w:val="21"/>
                <w:shd w:val="clear" w:color="auto" w:fill="FFFFFF"/>
              </w:rPr>
              <w:t>100</w:t>
            </w:r>
            <w:r>
              <w:rPr>
                <w:rFonts w:hint="eastAsia" w:ascii="宋体" w:hAnsi="宋体" w:eastAsia="宋体" w:cs="宋体"/>
                <w:kern w:val="0"/>
                <w:szCs w:val="21"/>
              </w:rPr>
              <w:t>～</w:t>
            </w:r>
            <w:r>
              <w:rPr>
                <w:rFonts w:hint="eastAsia" w:ascii="宋体" w:hAnsi="宋体" w:eastAsia="宋体" w:cs="宋体"/>
                <w:szCs w:val="21"/>
                <w:shd w:val="clear" w:color="auto" w:fill="FFFFFF"/>
              </w:rPr>
              <w:t>200g</w:t>
            </w:r>
          </w:p>
        </w:tc>
        <w:tc>
          <w:tcPr>
            <w:tcW w:w="1092" w:type="dxa"/>
            <w:vAlign w:val="center"/>
          </w:tcPr>
          <w:p w14:paraId="5A4AF1D8">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加细沙 灌心</w:t>
            </w:r>
          </w:p>
        </w:tc>
        <w:tc>
          <w:tcPr>
            <w:tcW w:w="1310" w:type="dxa"/>
            <w:vAlign w:val="center"/>
          </w:tcPr>
          <w:p w14:paraId="27108537">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w:t>
            </w:r>
          </w:p>
        </w:tc>
      </w:tr>
      <w:tr w14:paraId="5A43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5" w:type="dxa"/>
            <w:vMerge w:val="continue"/>
            <w:vAlign w:val="center"/>
          </w:tcPr>
          <w:p w14:paraId="1EA35F35">
            <w:pPr>
              <w:widowControl/>
              <w:adjustRightInd w:val="0"/>
              <w:snapToGrid w:val="0"/>
              <w:jc w:val="center"/>
              <w:rPr>
                <w:rFonts w:ascii="宋体" w:hAnsi="宋体" w:eastAsia="宋体" w:cs="宋体"/>
                <w:kern w:val="0"/>
                <w:szCs w:val="21"/>
              </w:rPr>
            </w:pPr>
          </w:p>
        </w:tc>
        <w:tc>
          <w:tcPr>
            <w:tcW w:w="1729" w:type="dxa"/>
            <w:vAlign w:val="center"/>
          </w:tcPr>
          <w:p w14:paraId="42D67F05">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喇叭口期</w:t>
            </w:r>
          </w:p>
        </w:tc>
        <w:tc>
          <w:tcPr>
            <w:tcW w:w="2738" w:type="dxa"/>
            <w:vAlign w:val="center"/>
          </w:tcPr>
          <w:p w14:paraId="5953D8E7">
            <w:pPr>
              <w:widowControl/>
              <w:adjustRightInd w:val="0"/>
              <w:snapToGrid w:val="0"/>
              <w:jc w:val="center"/>
              <w:rPr>
                <w:rFonts w:ascii="宋体" w:hAnsi="宋体" w:eastAsia="宋体" w:cs="宋体"/>
                <w:kern w:val="0"/>
                <w:szCs w:val="21"/>
              </w:rPr>
            </w:pPr>
            <w:r>
              <w:rPr>
                <w:rFonts w:hint="eastAsia" w:ascii="宋体" w:hAnsi="宋体" w:eastAsia="宋体" w:cs="宋体"/>
                <w:szCs w:val="21"/>
                <w:shd w:val="clear" w:color="auto" w:fill="FFFFFF"/>
              </w:rPr>
              <w:t>400亿孢子/克球孢白僵菌可湿性粉剂</w:t>
            </w:r>
          </w:p>
        </w:tc>
        <w:tc>
          <w:tcPr>
            <w:tcW w:w="1646" w:type="dxa"/>
            <w:vAlign w:val="center"/>
          </w:tcPr>
          <w:p w14:paraId="729FC811">
            <w:pPr>
              <w:widowControl/>
              <w:adjustRightInd w:val="0"/>
              <w:snapToGrid w:val="0"/>
              <w:jc w:val="center"/>
              <w:rPr>
                <w:rFonts w:ascii="宋体" w:hAnsi="宋体" w:eastAsia="宋体" w:cs="宋体"/>
                <w:kern w:val="0"/>
                <w:szCs w:val="21"/>
              </w:rPr>
            </w:pPr>
            <w:r>
              <w:rPr>
                <w:rFonts w:hint="eastAsia" w:ascii="宋体" w:hAnsi="宋体" w:eastAsia="宋体" w:cs="宋体"/>
                <w:szCs w:val="21"/>
                <w:shd w:val="clear" w:color="auto" w:fill="FFFFFF"/>
              </w:rPr>
              <w:t>100-120g</w:t>
            </w:r>
          </w:p>
        </w:tc>
        <w:tc>
          <w:tcPr>
            <w:tcW w:w="1092" w:type="dxa"/>
            <w:vAlign w:val="center"/>
          </w:tcPr>
          <w:p w14:paraId="452FC1F7">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喷雾</w:t>
            </w:r>
          </w:p>
        </w:tc>
        <w:tc>
          <w:tcPr>
            <w:tcW w:w="1310" w:type="dxa"/>
            <w:vAlign w:val="center"/>
          </w:tcPr>
          <w:p w14:paraId="46826C78">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14</w:t>
            </w:r>
          </w:p>
        </w:tc>
      </w:tr>
      <w:tr w14:paraId="51C2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5" w:type="dxa"/>
            <w:vAlign w:val="center"/>
          </w:tcPr>
          <w:p w14:paraId="49755758">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地老虎</w:t>
            </w:r>
          </w:p>
        </w:tc>
        <w:tc>
          <w:tcPr>
            <w:tcW w:w="1729" w:type="dxa"/>
            <w:vAlign w:val="center"/>
          </w:tcPr>
          <w:p w14:paraId="5B6D8BDC">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播种前</w:t>
            </w:r>
          </w:p>
        </w:tc>
        <w:tc>
          <w:tcPr>
            <w:tcW w:w="2738" w:type="dxa"/>
            <w:vAlign w:val="center"/>
          </w:tcPr>
          <w:p w14:paraId="1D2FCAD0">
            <w:pPr>
              <w:widowControl/>
              <w:adjustRightInd w:val="0"/>
              <w:snapToGrid w:val="0"/>
              <w:jc w:val="center"/>
              <w:rPr>
                <w:rFonts w:ascii="宋体" w:hAnsi="宋体" w:eastAsia="宋体" w:cs="宋体"/>
                <w:szCs w:val="21"/>
                <w:shd w:val="clear" w:color="auto" w:fill="FFFFFF"/>
              </w:rPr>
            </w:pPr>
            <w:r>
              <w:rPr>
                <w:rFonts w:hint="eastAsia" w:ascii="宋体" w:hAnsi="宋体" w:eastAsia="宋体" w:cs="宋体"/>
                <w:szCs w:val="21"/>
                <w:shd w:val="clear" w:color="auto" w:fill="FFFFFF"/>
              </w:rPr>
              <w:t>3%辛硫磷水乳种衣剂</w:t>
            </w:r>
          </w:p>
        </w:tc>
        <w:tc>
          <w:tcPr>
            <w:tcW w:w="1646" w:type="dxa"/>
            <w:vAlign w:val="center"/>
          </w:tcPr>
          <w:p w14:paraId="0D2E5853">
            <w:pPr>
              <w:widowControl/>
              <w:adjustRightInd w:val="0"/>
              <w:snapToGrid w:val="0"/>
              <w:jc w:val="center"/>
              <w:rPr>
                <w:rFonts w:ascii="宋体" w:hAnsi="宋体" w:eastAsia="宋体" w:cs="宋体"/>
                <w:szCs w:val="21"/>
                <w:shd w:val="clear" w:color="auto" w:fill="FFFFFF"/>
              </w:rPr>
            </w:pPr>
            <w:r>
              <w:rPr>
                <w:rFonts w:hint="eastAsia" w:ascii="宋体" w:hAnsi="宋体" w:eastAsia="宋体" w:cs="宋体"/>
                <w:kern w:val="0"/>
                <w:szCs w:val="21"/>
              </w:rPr>
              <w:t>药种比1:30-40</w:t>
            </w:r>
          </w:p>
        </w:tc>
        <w:tc>
          <w:tcPr>
            <w:tcW w:w="1092" w:type="dxa"/>
            <w:vAlign w:val="center"/>
          </w:tcPr>
          <w:p w14:paraId="694C895D">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种子包衣</w:t>
            </w:r>
          </w:p>
        </w:tc>
        <w:tc>
          <w:tcPr>
            <w:tcW w:w="1310" w:type="dxa"/>
            <w:vAlign w:val="center"/>
          </w:tcPr>
          <w:p w14:paraId="15583FEC">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w:t>
            </w:r>
          </w:p>
        </w:tc>
      </w:tr>
      <w:tr w14:paraId="7C17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5" w:type="dxa"/>
            <w:vAlign w:val="center"/>
          </w:tcPr>
          <w:p w14:paraId="3160B79D">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粘虫</w:t>
            </w:r>
          </w:p>
        </w:tc>
        <w:tc>
          <w:tcPr>
            <w:tcW w:w="1729" w:type="dxa"/>
            <w:vAlign w:val="center"/>
          </w:tcPr>
          <w:p w14:paraId="3FF8EFCE">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发生初期</w:t>
            </w:r>
          </w:p>
        </w:tc>
        <w:tc>
          <w:tcPr>
            <w:tcW w:w="2738" w:type="dxa"/>
            <w:vAlign w:val="center"/>
          </w:tcPr>
          <w:p w14:paraId="6F37221F">
            <w:pPr>
              <w:widowControl/>
              <w:adjustRightInd w:val="0"/>
              <w:snapToGrid w:val="0"/>
              <w:jc w:val="center"/>
              <w:rPr>
                <w:rFonts w:ascii="宋体" w:hAnsi="宋体" w:eastAsia="宋体" w:cs="宋体"/>
                <w:szCs w:val="21"/>
                <w:shd w:val="clear" w:color="auto" w:fill="FFFFFF"/>
              </w:rPr>
            </w:pPr>
            <w:r>
              <w:rPr>
                <w:rFonts w:hint="eastAsia" w:ascii="宋体" w:hAnsi="宋体" w:eastAsia="宋体" w:cs="宋体"/>
                <w:szCs w:val="21"/>
                <w:shd w:val="clear" w:color="auto" w:fill="FFFFFF"/>
              </w:rPr>
              <w:t>200g/L氯虫苯甲酰胺悬浮剂</w:t>
            </w:r>
          </w:p>
        </w:tc>
        <w:tc>
          <w:tcPr>
            <w:tcW w:w="1646" w:type="dxa"/>
            <w:vAlign w:val="center"/>
          </w:tcPr>
          <w:p w14:paraId="34C0A71D">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10ml～15ml</w:t>
            </w:r>
          </w:p>
        </w:tc>
        <w:tc>
          <w:tcPr>
            <w:tcW w:w="1092" w:type="dxa"/>
            <w:vAlign w:val="center"/>
          </w:tcPr>
          <w:p w14:paraId="518AAB5C">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喷雾</w:t>
            </w:r>
          </w:p>
        </w:tc>
        <w:tc>
          <w:tcPr>
            <w:tcW w:w="1310" w:type="dxa"/>
            <w:vAlign w:val="center"/>
          </w:tcPr>
          <w:p w14:paraId="7D8B26A5">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21</w:t>
            </w:r>
          </w:p>
        </w:tc>
      </w:tr>
      <w:tr w14:paraId="6D94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90" w:type="dxa"/>
            <w:gridSpan w:val="6"/>
            <w:vAlign w:val="center"/>
          </w:tcPr>
          <w:p w14:paraId="2C85F1B8">
            <w:pPr>
              <w:widowControl/>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注：农药使用应以最新版本NY/T 393的规定为准。</w:t>
            </w:r>
          </w:p>
        </w:tc>
      </w:tr>
    </w:tbl>
    <w:p w14:paraId="247F81D3">
      <w:pPr>
        <w:spacing w:line="400" w:lineRule="atLeast"/>
        <w:contextualSpacing/>
        <w:rPr>
          <w:rFonts w:ascii="宋体" w:hAnsi="宋体" w:cs="宋体"/>
          <w:color w:val="FF0000"/>
          <w:szCs w:val="21"/>
        </w:rPr>
      </w:pPr>
    </w:p>
    <w:p w14:paraId="1810F710">
      <w:pPr>
        <w:pStyle w:val="31"/>
        <w:spacing w:before="156" w:beforeLines="50" w:after="156" w:afterLines="50" w:line="400" w:lineRule="atLeast"/>
        <w:ind w:firstLine="0"/>
        <w:contextualSpacing/>
        <w:rPr>
          <w:rFonts w:ascii="宋体" w:hAnsi="宋体" w:eastAsia="宋体" w:cs="宋体"/>
        </w:rPr>
      </w:pPr>
    </w:p>
    <w:p w14:paraId="3EA1631B">
      <w:pPr>
        <w:pStyle w:val="30"/>
        <w:tabs>
          <w:tab w:val="center" w:pos="4201"/>
          <w:tab w:val="right" w:leader="dot" w:pos="9298"/>
        </w:tabs>
        <w:ind w:firstLine="0" w:firstLineChars="0"/>
        <w:jc w:val="center"/>
        <w:rPr>
          <w:rFonts w:ascii="黑体" w:hAnsi="黑体" w:eastAsia="黑体"/>
          <w:bCs/>
          <w:szCs w:val="21"/>
        </w:rPr>
      </w:pPr>
    </w:p>
    <w:p w14:paraId="58A3CC47">
      <w:pPr>
        <w:pStyle w:val="30"/>
        <w:tabs>
          <w:tab w:val="center" w:pos="4201"/>
          <w:tab w:val="right" w:leader="dot" w:pos="9298"/>
        </w:tabs>
        <w:ind w:firstLine="0" w:firstLineChars="0"/>
        <w:jc w:val="center"/>
        <w:rPr>
          <w:rFonts w:ascii="黑体" w:hAnsi="黑体" w:eastAsia="黑体"/>
          <w:bCs/>
          <w:szCs w:val="21"/>
        </w:rPr>
      </w:pPr>
    </w:p>
    <w:p w14:paraId="296EAEA5">
      <w:pPr>
        <w:pStyle w:val="30"/>
        <w:tabs>
          <w:tab w:val="center" w:pos="4201"/>
          <w:tab w:val="right" w:leader="dot" w:pos="9298"/>
        </w:tabs>
        <w:ind w:firstLine="0" w:firstLineChars="0"/>
        <w:jc w:val="center"/>
        <w:rPr>
          <w:rFonts w:ascii="黑体" w:hAnsi="黑体" w:eastAsia="黑体"/>
          <w:bCs/>
          <w:szCs w:val="21"/>
        </w:rPr>
      </w:pPr>
    </w:p>
    <w:p w14:paraId="33DE8529">
      <w:pPr>
        <w:pStyle w:val="30"/>
        <w:tabs>
          <w:tab w:val="center" w:pos="4201"/>
          <w:tab w:val="right" w:leader="dot" w:pos="9298"/>
        </w:tabs>
        <w:ind w:firstLine="0" w:firstLineChars="0"/>
        <w:jc w:val="center"/>
        <w:rPr>
          <w:rFonts w:ascii="黑体" w:hAnsi="黑体" w:eastAsia="黑体"/>
          <w:bCs/>
          <w:szCs w:val="21"/>
        </w:rPr>
      </w:pPr>
    </w:p>
    <w:p w14:paraId="2411538C">
      <w:pPr>
        <w:pStyle w:val="30"/>
        <w:tabs>
          <w:tab w:val="center" w:pos="4201"/>
          <w:tab w:val="right" w:leader="dot" w:pos="9298"/>
        </w:tabs>
        <w:ind w:firstLine="0" w:firstLineChars="0"/>
        <w:jc w:val="center"/>
        <w:rPr>
          <w:rFonts w:ascii="黑体" w:hAnsi="黑体" w:eastAsia="黑体"/>
          <w:bCs/>
          <w:szCs w:val="21"/>
        </w:rPr>
      </w:pPr>
    </w:p>
    <w:p w14:paraId="0F6D4F92">
      <w:pPr>
        <w:pStyle w:val="30"/>
        <w:tabs>
          <w:tab w:val="center" w:pos="4201"/>
          <w:tab w:val="right" w:leader="dot" w:pos="9298"/>
        </w:tabs>
        <w:ind w:firstLine="0" w:firstLineChars="0"/>
        <w:jc w:val="center"/>
        <w:rPr>
          <w:rFonts w:ascii="黑体" w:hAnsi="黑体" w:eastAsia="黑体"/>
          <w:bCs/>
          <w:szCs w:val="21"/>
        </w:rPr>
      </w:pPr>
    </w:p>
    <w:p w14:paraId="3ACF5D95">
      <w:pPr>
        <w:pStyle w:val="30"/>
        <w:tabs>
          <w:tab w:val="center" w:pos="4201"/>
          <w:tab w:val="right" w:leader="dot" w:pos="9298"/>
        </w:tabs>
        <w:ind w:firstLine="0" w:firstLineChars="0"/>
        <w:jc w:val="center"/>
        <w:rPr>
          <w:rFonts w:ascii="黑体" w:hAnsi="黑体" w:eastAsia="黑体"/>
          <w:bCs/>
          <w:szCs w:val="21"/>
        </w:rPr>
      </w:pPr>
    </w:p>
    <w:p w14:paraId="62CC0DE4">
      <w:pPr>
        <w:pStyle w:val="30"/>
        <w:tabs>
          <w:tab w:val="center" w:pos="4201"/>
          <w:tab w:val="right" w:leader="dot" w:pos="9298"/>
        </w:tabs>
        <w:ind w:firstLine="0" w:firstLineChars="0"/>
        <w:jc w:val="center"/>
        <w:rPr>
          <w:rFonts w:ascii="黑体" w:hAnsi="黑体" w:eastAsia="黑体"/>
          <w:bCs/>
          <w:szCs w:val="21"/>
        </w:rPr>
      </w:pPr>
    </w:p>
    <w:p w14:paraId="34DB2C86">
      <w:pPr>
        <w:pStyle w:val="30"/>
        <w:tabs>
          <w:tab w:val="center" w:pos="4201"/>
          <w:tab w:val="right" w:leader="dot" w:pos="9298"/>
        </w:tabs>
        <w:ind w:firstLine="0" w:firstLineChars="0"/>
        <w:jc w:val="center"/>
        <w:rPr>
          <w:rFonts w:ascii="黑体" w:hAnsi="黑体" w:eastAsia="黑体"/>
          <w:bCs/>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3ADD4A-6525-472F-97B3-30E082821D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2" w:fontKey="{1FF92762-5C81-49F0-A93C-1CB1D3BAEE4F}"/>
  </w:font>
  <w:font w:name="华文中宋">
    <w:panose1 w:val="02010600040101010101"/>
    <w:charset w:val="86"/>
    <w:family w:val="auto"/>
    <w:pitch w:val="default"/>
    <w:sig w:usb0="00000287" w:usb1="080F0000" w:usb2="00000000" w:usb3="00000000" w:csb0="0004009F" w:csb1="DFD70000"/>
    <w:embedRegular r:id="rId3" w:fontKey="{40D52ECD-BE5C-4E05-A2C8-D5DBE604B0CA}"/>
  </w:font>
  <w:font w:name="Segoe UI">
    <w:panose1 w:val="020B0502040204020203"/>
    <w:charset w:val="00"/>
    <w:family w:val="swiss"/>
    <w:pitch w:val="default"/>
    <w:sig w:usb0="E4002EFF" w:usb1="C000E47F" w:usb2="00000009" w:usb3="00000000" w:csb0="200001FF" w:csb1="00000000"/>
    <w:embedRegular r:id="rId4" w:fontKey="{29144645-4835-4682-83B3-8BB48887FCC9}"/>
  </w:font>
  <w:font w:name="仿宋">
    <w:panose1 w:val="02010609060101010101"/>
    <w:charset w:val="86"/>
    <w:family w:val="modern"/>
    <w:pitch w:val="default"/>
    <w:sig w:usb0="800002BF" w:usb1="38CF7CFA" w:usb2="00000016" w:usb3="00000000" w:csb0="00040001" w:csb1="00000000"/>
    <w:embedRegular r:id="rId5" w:fontKey="{6614E014-9904-4278-B116-7DBC2AC957C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BF24F">
    <w:pPr>
      <w:jc w:val="right"/>
      <w:rPr>
        <w:rFonts w:ascii="黑体" w:hAnsi="黑体" w:eastAsia="黑体"/>
        <w:szCs w:val="21"/>
      </w:rPr>
    </w:pPr>
    <w:r>
      <w:rPr>
        <w:rFonts w:hint="eastAsia" w:ascii="黑体" w:hAnsi="黑体" w:eastAsia="黑体"/>
        <w:szCs w:val="21"/>
      </w:rPr>
      <w:t>T/CGFA</w:t>
    </w:r>
    <w:r>
      <w:rPr>
        <w:rFonts w:hint="eastAsia" w:ascii="黑体" w:hAnsi="黑体" w:eastAsia="黑体"/>
        <w:szCs w:val="21"/>
        <w:lang w:val="en-US" w:eastAsia="zh-CN"/>
      </w:rPr>
      <w:t>xx</w:t>
    </w:r>
    <w:r>
      <w:rPr>
        <w:rFonts w:hint="eastAsia" w:ascii="黑体" w:hAnsi="黑体" w:eastAsia="黑体"/>
        <w:szCs w:val="21"/>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2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030F9"/>
    <w:rsid w:val="0004540C"/>
    <w:rsid w:val="000E7F73"/>
    <w:rsid w:val="001013B8"/>
    <w:rsid w:val="00167E00"/>
    <w:rsid w:val="00184E5C"/>
    <w:rsid w:val="001A6AB4"/>
    <w:rsid w:val="001F7E4A"/>
    <w:rsid w:val="00211749"/>
    <w:rsid w:val="00221E93"/>
    <w:rsid w:val="00272BBF"/>
    <w:rsid w:val="002B7D3F"/>
    <w:rsid w:val="002C22C2"/>
    <w:rsid w:val="003025CE"/>
    <w:rsid w:val="00323CAE"/>
    <w:rsid w:val="00380396"/>
    <w:rsid w:val="003C385A"/>
    <w:rsid w:val="003D42E2"/>
    <w:rsid w:val="003F1F68"/>
    <w:rsid w:val="00413BD5"/>
    <w:rsid w:val="0047357B"/>
    <w:rsid w:val="00487DCC"/>
    <w:rsid w:val="004C517D"/>
    <w:rsid w:val="00500138"/>
    <w:rsid w:val="00503376"/>
    <w:rsid w:val="005123DE"/>
    <w:rsid w:val="00516E14"/>
    <w:rsid w:val="00550656"/>
    <w:rsid w:val="00561350"/>
    <w:rsid w:val="005613F2"/>
    <w:rsid w:val="005A4DC7"/>
    <w:rsid w:val="005D5A55"/>
    <w:rsid w:val="0060494B"/>
    <w:rsid w:val="0062693E"/>
    <w:rsid w:val="00630E24"/>
    <w:rsid w:val="00685EA9"/>
    <w:rsid w:val="006B251A"/>
    <w:rsid w:val="006D24F9"/>
    <w:rsid w:val="006E0E7F"/>
    <w:rsid w:val="006E5D61"/>
    <w:rsid w:val="006F22C7"/>
    <w:rsid w:val="006F5340"/>
    <w:rsid w:val="00713CC6"/>
    <w:rsid w:val="00714900"/>
    <w:rsid w:val="0074527F"/>
    <w:rsid w:val="00775345"/>
    <w:rsid w:val="00783B78"/>
    <w:rsid w:val="008436D3"/>
    <w:rsid w:val="008E34E8"/>
    <w:rsid w:val="008F1F6B"/>
    <w:rsid w:val="00904089"/>
    <w:rsid w:val="00920D74"/>
    <w:rsid w:val="0092492A"/>
    <w:rsid w:val="009378B1"/>
    <w:rsid w:val="009548DB"/>
    <w:rsid w:val="009935AB"/>
    <w:rsid w:val="009E7A93"/>
    <w:rsid w:val="00A27E0E"/>
    <w:rsid w:val="00A67B7D"/>
    <w:rsid w:val="00AB5AE1"/>
    <w:rsid w:val="00AC386B"/>
    <w:rsid w:val="00B10096"/>
    <w:rsid w:val="00B1402C"/>
    <w:rsid w:val="00B14A4C"/>
    <w:rsid w:val="00BA20F5"/>
    <w:rsid w:val="00BC6AD2"/>
    <w:rsid w:val="00C0578E"/>
    <w:rsid w:val="00C126C0"/>
    <w:rsid w:val="00C86853"/>
    <w:rsid w:val="00CE0A16"/>
    <w:rsid w:val="00CE0F5D"/>
    <w:rsid w:val="00CF76F6"/>
    <w:rsid w:val="00D23DA7"/>
    <w:rsid w:val="00D24F94"/>
    <w:rsid w:val="00D5795F"/>
    <w:rsid w:val="00DE3C47"/>
    <w:rsid w:val="00E04DAF"/>
    <w:rsid w:val="00E4022C"/>
    <w:rsid w:val="00E719DE"/>
    <w:rsid w:val="00E72A55"/>
    <w:rsid w:val="00E9181A"/>
    <w:rsid w:val="00F00520"/>
    <w:rsid w:val="00F25705"/>
    <w:rsid w:val="00F747A1"/>
    <w:rsid w:val="00F92361"/>
    <w:rsid w:val="00FD550A"/>
    <w:rsid w:val="00FE5DBC"/>
    <w:rsid w:val="00FE6ECC"/>
    <w:rsid w:val="02ED7EC0"/>
    <w:rsid w:val="030D40BE"/>
    <w:rsid w:val="03231B33"/>
    <w:rsid w:val="039667A9"/>
    <w:rsid w:val="0575419C"/>
    <w:rsid w:val="05791EDF"/>
    <w:rsid w:val="06CE70B8"/>
    <w:rsid w:val="07261BF2"/>
    <w:rsid w:val="07660241"/>
    <w:rsid w:val="076F5DD8"/>
    <w:rsid w:val="07D653C6"/>
    <w:rsid w:val="091F2D9D"/>
    <w:rsid w:val="09B434E5"/>
    <w:rsid w:val="0A412F2D"/>
    <w:rsid w:val="0A5B7E05"/>
    <w:rsid w:val="0A7D421F"/>
    <w:rsid w:val="0A801619"/>
    <w:rsid w:val="0AA01CBB"/>
    <w:rsid w:val="0ABB6AF5"/>
    <w:rsid w:val="0D002EE5"/>
    <w:rsid w:val="0D8E6743"/>
    <w:rsid w:val="0DDD6D83"/>
    <w:rsid w:val="0DF7B26D"/>
    <w:rsid w:val="0EF44384"/>
    <w:rsid w:val="0F977B31"/>
    <w:rsid w:val="0F9A4F2B"/>
    <w:rsid w:val="0FAF717F"/>
    <w:rsid w:val="103B4960"/>
    <w:rsid w:val="12A865D7"/>
    <w:rsid w:val="12C14EC5"/>
    <w:rsid w:val="13675A6C"/>
    <w:rsid w:val="14F72CD4"/>
    <w:rsid w:val="16A550C0"/>
    <w:rsid w:val="17681DB3"/>
    <w:rsid w:val="17984446"/>
    <w:rsid w:val="17AC0191"/>
    <w:rsid w:val="19045B0B"/>
    <w:rsid w:val="1A50725A"/>
    <w:rsid w:val="1ABB0818"/>
    <w:rsid w:val="1BAA0BEC"/>
    <w:rsid w:val="1C890801"/>
    <w:rsid w:val="1D1F47AD"/>
    <w:rsid w:val="1E0210EB"/>
    <w:rsid w:val="1E1278FC"/>
    <w:rsid w:val="1E791675"/>
    <w:rsid w:val="1EA26CAD"/>
    <w:rsid w:val="1EE6D390"/>
    <w:rsid w:val="1EE73F05"/>
    <w:rsid w:val="1FF02946"/>
    <w:rsid w:val="20855A40"/>
    <w:rsid w:val="21521B0A"/>
    <w:rsid w:val="217F8798"/>
    <w:rsid w:val="21B300CF"/>
    <w:rsid w:val="21C7063D"/>
    <w:rsid w:val="221C5C74"/>
    <w:rsid w:val="22243D52"/>
    <w:rsid w:val="22374E87"/>
    <w:rsid w:val="224C47AB"/>
    <w:rsid w:val="23B24AE2"/>
    <w:rsid w:val="24133C83"/>
    <w:rsid w:val="244A1145"/>
    <w:rsid w:val="25F80BEF"/>
    <w:rsid w:val="26B77E68"/>
    <w:rsid w:val="26C30CEC"/>
    <w:rsid w:val="26F45411"/>
    <w:rsid w:val="271D1824"/>
    <w:rsid w:val="27266644"/>
    <w:rsid w:val="28153891"/>
    <w:rsid w:val="2A3873C3"/>
    <w:rsid w:val="2A7E3970"/>
    <w:rsid w:val="2A9375F8"/>
    <w:rsid w:val="2AA84549"/>
    <w:rsid w:val="2B0F4649"/>
    <w:rsid w:val="2C8608B9"/>
    <w:rsid w:val="2CB13B0D"/>
    <w:rsid w:val="2CE61358"/>
    <w:rsid w:val="2D214A86"/>
    <w:rsid w:val="2DCF003E"/>
    <w:rsid w:val="2E0F0005"/>
    <w:rsid w:val="2EC658E5"/>
    <w:rsid w:val="2FA7C52B"/>
    <w:rsid w:val="2FD302BA"/>
    <w:rsid w:val="2FDE6C5E"/>
    <w:rsid w:val="2FE73D65"/>
    <w:rsid w:val="30896BCA"/>
    <w:rsid w:val="30CC4D09"/>
    <w:rsid w:val="317433D6"/>
    <w:rsid w:val="320D162A"/>
    <w:rsid w:val="3293788C"/>
    <w:rsid w:val="32D6521C"/>
    <w:rsid w:val="34A27E10"/>
    <w:rsid w:val="35C80195"/>
    <w:rsid w:val="361D1FA0"/>
    <w:rsid w:val="36592B9B"/>
    <w:rsid w:val="37797999"/>
    <w:rsid w:val="3787198A"/>
    <w:rsid w:val="37CDED3C"/>
    <w:rsid w:val="380134EA"/>
    <w:rsid w:val="39916AF0"/>
    <w:rsid w:val="3A15327D"/>
    <w:rsid w:val="3ACE7FFB"/>
    <w:rsid w:val="3AFA0DF0"/>
    <w:rsid w:val="3B381919"/>
    <w:rsid w:val="3B4C7172"/>
    <w:rsid w:val="3B620744"/>
    <w:rsid w:val="3B7F8BCB"/>
    <w:rsid w:val="3BFD5783"/>
    <w:rsid w:val="3CFC58ED"/>
    <w:rsid w:val="3D295AC5"/>
    <w:rsid w:val="3D587AC8"/>
    <w:rsid w:val="3D7824A0"/>
    <w:rsid w:val="3D923A95"/>
    <w:rsid w:val="3F406FEE"/>
    <w:rsid w:val="3F4A7E6C"/>
    <w:rsid w:val="3F650802"/>
    <w:rsid w:val="3FAC01DF"/>
    <w:rsid w:val="3FF1653A"/>
    <w:rsid w:val="400D3374"/>
    <w:rsid w:val="41BB4A1A"/>
    <w:rsid w:val="41C10C4B"/>
    <w:rsid w:val="42075BA1"/>
    <w:rsid w:val="43AC2EA4"/>
    <w:rsid w:val="45E701C3"/>
    <w:rsid w:val="46963997"/>
    <w:rsid w:val="46ED7A5B"/>
    <w:rsid w:val="47FF747A"/>
    <w:rsid w:val="48092B19"/>
    <w:rsid w:val="4823125B"/>
    <w:rsid w:val="4867383D"/>
    <w:rsid w:val="493A2D00"/>
    <w:rsid w:val="49F57FBD"/>
    <w:rsid w:val="4A4C6847"/>
    <w:rsid w:val="4A5BC11F"/>
    <w:rsid w:val="4A9106FD"/>
    <w:rsid w:val="4A9C318A"/>
    <w:rsid w:val="4B005883"/>
    <w:rsid w:val="4B83273C"/>
    <w:rsid w:val="4B944949"/>
    <w:rsid w:val="4BE8259F"/>
    <w:rsid w:val="4C0C7A60"/>
    <w:rsid w:val="4C2BF6B9"/>
    <w:rsid w:val="4C433C79"/>
    <w:rsid w:val="4CC528E0"/>
    <w:rsid w:val="4DEB8DC1"/>
    <w:rsid w:val="4E5E123E"/>
    <w:rsid w:val="4ECA3C43"/>
    <w:rsid w:val="4F42290E"/>
    <w:rsid w:val="508A00C9"/>
    <w:rsid w:val="50EB11F0"/>
    <w:rsid w:val="50EC48E0"/>
    <w:rsid w:val="514254F0"/>
    <w:rsid w:val="53071EA5"/>
    <w:rsid w:val="530C3017"/>
    <w:rsid w:val="53837A1F"/>
    <w:rsid w:val="53DC22CC"/>
    <w:rsid w:val="54AB7A0C"/>
    <w:rsid w:val="55052414"/>
    <w:rsid w:val="55717AA9"/>
    <w:rsid w:val="558772CD"/>
    <w:rsid w:val="56BC6B02"/>
    <w:rsid w:val="56C1680E"/>
    <w:rsid w:val="56F52DDC"/>
    <w:rsid w:val="591E5852"/>
    <w:rsid w:val="59633BAD"/>
    <w:rsid w:val="5A1D3D5C"/>
    <w:rsid w:val="5A865DA5"/>
    <w:rsid w:val="5AF7CD91"/>
    <w:rsid w:val="5B5C4D58"/>
    <w:rsid w:val="5B71D2DF"/>
    <w:rsid w:val="5B9B13DC"/>
    <w:rsid w:val="5BD82630"/>
    <w:rsid w:val="5D0E61F4"/>
    <w:rsid w:val="5D276C9F"/>
    <w:rsid w:val="5DBA5211"/>
    <w:rsid w:val="5E7303EE"/>
    <w:rsid w:val="5ED13367"/>
    <w:rsid w:val="5F0059FA"/>
    <w:rsid w:val="5F5FFB36"/>
    <w:rsid w:val="5F78AF6A"/>
    <w:rsid w:val="5F78B28B"/>
    <w:rsid w:val="5FDF25F8"/>
    <w:rsid w:val="5FFD87E9"/>
    <w:rsid w:val="5FFF209F"/>
    <w:rsid w:val="635670B0"/>
    <w:rsid w:val="6363332A"/>
    <w:rsid w:val="63B514A9"/>
    <w:rsid w:val="63FA5A12"/>
    <w:rsid w:val="64AFC870"/>
    <w:rsid w:val="64DF4A2F"/>
    <w:rsid w:val="655D3BA6"/>
    <w:rsid w:val="6832131A"/>
    <w:rsid w:val="691F5C3D"/>
    <w:rsid w:val="6931330C"/>
    <w:rsid w:val="697B45FB"/>
    <w:rsid w:val="6A745C1A"/>
    <w:rsid w:val="6A953744"/>
    <w:rsid w:val="6BD13FFF"/>
    <w:rsid w:val="6BE566A3"/>
    <w:rsid w:val="6C066D46"/>
    <w:rsid w:val="6C3F7360"/>
    <w:rsid w:val="6CBA7B30"/>
    <w:rsid w:val="6D12171A"/>
    <w:rsid w:val="6D3276C6"/>
    <w:rsid w:val="6DE035C6"/>
    <w:rsid w:val="6E239581"/>
    <w:rsid w:val="6F5F2EAE"/>
    <w:rsid w:val="6FFF88FB"/>
    <w:rsid w:val="712B39A2"/>
    <w:rsid w:val="71436346"/>
    <w:rsid w:val="721B4BCD"/>
    <w:rsid w:val="72271C00"/>
    <w:rsid w:val="72C139C6"/>
    <w:rsid w:val="737F7675"/>
    <w:rsid w:val="74CE598A"/>
    <w:rsid w:val="74F1000A"/>
    <w:rsid w:val="75834F63"/>
    <w:rsid w:val="76FC64C5"/>
    <w:rsid w:val="7719ACAB"/>
    <w:rsid w:val="775A7F45"/>
    <w:rsid w:val="776B5CAF"/>
    <w:rsid w:val="778C23F0"/>
    <w:rsid w:val="77DA4BE2"/>
    <w:rsid w:val="780B1240"/>
    <w:rsid w:val="783764D9"/>
    <w:rsid w:val="784339AA"/>
    <w:rsid w:val="787B0173"/>
    <w:rsid w:val="78D4383F"/>
    <w:rsid w:val="78F20A82"/>
    <w:rsid w:val="78F7B0A5"/>
    <w:rsid w:val="79030169"/>
    <w:rsid w:val="79F2235B"/>
    <w:rsid w:val="7A2111EE"/>
    <w:rsid w:val="7A9B1056"/>
    <w:rsid w:val="7B53F473"/>
    <w:rsid w:val="7BDE74B2"/>
    <w:rsid w:val="7C677E0B"/>
    <w:rsid w:val="7CBE2D25"/>
    <w:rsid w:val="7CE3278B"/>
    <w:rsid w:val="7CF77124"/>
    <w:rsid w:val="7D494CE4"/>
    <w:rsid w:val="7D4F5AA1"/>
    <w:rsid w:val="7DED1B13"/>
    <w:rsid w:val="7EA5921F"/>
    <w:rsid w:val="7EED78F1"/>
    <w:rsid w:val="7F6C2F0C"/>
    <w:rsid w:val="7F6CE46A"/>
    <w:rsid w:val="7F7FAE54"/>
    <w:rsid w:val="7FB1091F"/>
    <w:rsid w:val="7FBB354B"/>
    <w:rsid w:val="7FBD7E52"/>
    <w:rsid w:val="7FFFE449"/>
    <w:rsid w:val="93AE2AC1"/>
    <w:rsid w:val="9F77CED1"/>
    <w:rsid w:val="A1FF0322"/>
    <w:rsid w:val="A5F7CA54"/>
    <w:rsid w:val="A6EECD9D"/>
    <w:rsid w:val="BEFBD64C"/>
    <w:rsid w:val="BFDFDCF2"/>
    <w:rsid w:val="CDFB0390"/>
    <w:rsid w:val="CF4F06AC"/>
    <w:rsid w:val="DA7D35DE"/>
    <w:rsid w:val="DF3DDC64"/>
    <w:rsid w:val="EB3E91B5"/>
    <w:rsid w:val="EDF18620"/>
    <w:rsid w:val="EE7C8C29"/>
    <w:rsid w:val="F5FF05DF"/>
    <w:rsid w:val="F77EFEB8"/>
    <w:rsid w:val="F7FFA9C5"/>
    <w:rsid w:val="F9DF0897"/>
    <w:rsid w:val="FB7E58EB"/>
    <w:rsid w:val="FB9EA1FC"/>
    <w:rsid w:val="FBBF6BD7"/>
    <w:rsid w:val="FBFBB67A"/>
    <w:rsid w:val="FDFB424D"/>
    <w:rsid w:val="FDFF19E4"/>
    <w:rsid w:val="FFBB9B41"/>
    <w:rsid w:val="FFBFB189"/>
    <w:rsid w:val="FFED0632"/>
    <w:rsid w:val="FFF4252C"/>
    <w:rsid w:val="FFF97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outlineLvl w:val="0"/>
    </w:pPr>
    <w:rPr>
      <w:rFonts w:ascii="黑体" w:hAnsi="黑体" w:eastAsia="黑体"/>
      <w:bCs/>
      <w:kern w:val="44"/>
      <w:szCs w:val="44"/>
    </w:rPr>
  </w:style>
  <w:style w:type="paragraph" w:styleId="3">
    <w:name w:val="heading 4"/>
    <w:basedOn w:val="1"/>
    <w:link w:val="29"/>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unhideWhenUsed/>
    <w:qFormat/>
    <w:uiPriority w:val="99"/>
    <w:pPr>
      <w:jc w:val="left"/>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28"/>
    <w:unhideWhenUsed/>
    <w:qFormat/>
    <w:uiPriority w:val="99"/>
    <w:pPr>
      <w:tabs>
        <w:tab w:val="center" w:pos="4153"/>
        <w:tab w:val="right" w:pos="8306"/>
      </w:tabs>
      <w:snapToGrid w:val="0"/>
      <w:jc w:val="left"/>
    </w:pPr>
    <w:rPr>
      <w:sz w:val="18"/>
      <w:szCs w:val="18"/>
    </w:rPr>
  </w:style>
  <w:style w:type="paragraph" w:styleId="8">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Hyperlink"/>
    <w:basedOn w:val="12"/>
    <w:qFormat/>
    <w:uiPriority w:val="0"/>
    <w:rPr>
      <w:color w:val="0563C1"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日期 Char"/>
    <w:basedOn w:val="12"/>
    <w:link w:val="5"/>
    <w:semiHidden/>
    <w:qFormat/>
    <w:uiPriority w:val="99"/>
    <w:rPr>
      <w:kern w:val="2"/>
      <w:sz w:val="21"/>
      <w:szCs w:val="22"/>
    </w:rPr>
  </w:style>
  <w:style w:type="character" w:customStyle="1" w:styleId="17">
    <w:name w:val="批注框文本 Char"/>
    <w:basedOn w:val="12"/>
    <w:link w:val="6"/>
    <w:semiHidden/>
    <w:qFormat/>
    <w:uiPriority w:val="99"/>
    <w:rPr>
      <w:kern w:val="2"/>
      <w:sz w:val="18"/>
      <w:szCs w:val="18"/>
    </w:rPr>
  </w:style>
  <w:style w:type="paragraph" w:customStyle="1" w:styleId="18">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9">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0">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1">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2">
    <w:name w:val="封面标准英文名称"/>
    <w:basedOn w:val="1"/>
    <w:autoRedefine/>
    <w:qFormat/>
    <w:uiPriority w:val="0"/>
    <w:pPr>
      <w:framePr w:w="9639" w:h="6974" w:hRule="exact" w:wrap="around" w:vAnchor="page" w:hAnchor="page" w:x="1419" w:y="6408"/>
      <w:tabs>
        <w:tab w:val="left" w:pos="9639"/>
      </w:tabs>
      <w:spacing w:before="410" w:line="360" w:lineRule="exact"/>
      <w:jc w:val="center"/>
      <w:textAlignment w:val="bottom"/>
    </w:pPr>
    <w:rPr>
      <w:rFonts w:hint="eastAsia" w:ascii="Times New Roman" w:hAnsi="Times New Roman" w:eastAsia="黑体" w:cs="Times New Roman"/>
      <w:kern w:val="0"/>
      <w:sz w:val="28"/>
      <w:szCs w:val="20"/>
    </w:rPr>
  </w:style>
  <w:style w:type="paragraph" w:customStyle="1" w:styleId="23">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paragraph" w:customStyle="1" w:styleId="24">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character" w:customStyle="1" w:styleId="25">
    <w:name w:val="批注文字 Char"/>
    <w:basedOn w:val="12"/>
    <w:link w:val="4"/>
    <w:qFormat/>
    <w:uiPriority w:val="99"/>
    <w:rPr>
      <w:kern w:val="2"/>
      <w:sz w:val="21"/>
      <w:szCs w:val="22"/>
    </w:rPr>
  </w:style>
  <w:style w:type="paragraph" w:customStyle="1" w:styleId="26">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hAnsi="Times New Roman" w:eastAsia="黑体" w:cs="Times New Roman"/>
      <w:sz w:val="52"/>
      <w:szCs w:val="52"/>
      <w:lang w:val="en-US" w:eastAsia="zh-CN" w:bidi="ar-SA"/>
    </w:rPr>
  </w:style>
  <w:style w:type="character" w:customStyle="1" w:styleId="27">
    <w:name w:val="页眉 Char"/>
    <w:basedOn w:val="12"/>
    <w:link w:val="8"/>
    <w:qFormat/>
    <w:uiPriority w:val="99"/>
    <w:rPr>
      <w:kern w:val="2"/>
      <w:sz w:val="18"/>
      <w:szCs w:val="18"/>
    </w:rPr>
  </w:style>
  <w:style w:type="character" w:customStyle="1" w:styleId="28">
    <w:name w:val="页脚 Char"/>
    <w:basedOn w:val="12"/>
    <w:link w:val="7"/>
    <w:qFormat/>
    <w:uiPriority w:val="99"/>
    <w:rPr>
      <w:kern w:val="2"/>
      <w:sz w:val="18"/>
      <w:szCs w:val="18"/>
    </w:rPr>
  </w:style>
  <w:style w:type="character" w:customStyle="1" w:styleId="29">
    <w:name w:val="标题 4 Char"/>
    <w:basedOn w:val="12"/>
    <w:link w:val="3"/>
    <w:qFormat/>
    <w:uiPriority w:val="9"/>
    <w:rPr>
      <w:rFonts w:ascii="宋体" w:hAnsi="宋体" w:eastAsia="宋体" w:cs="宋体"/>
      <w:b/>
      <w:bCs/>
      <w:sz w:val="24"/>
      <w:szCs w:val="24"/>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列出段落1"/>
    <w:basedOn w:val="1"/>
    <w:qFormat/>
    <w:uiPriority w:val="99"/>
    <w:pPr>
      <w:ind w:firstLine="420"/>
    </w:pPr>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5414cb8-866f-4122-8099-1636c23d732d}"/>
        <w:style w:val=""/>
        <w:category>
          <w:name w:val="常规"/>
          <w:gallery w:val="placeholder"/>
        </w:category>
        <w:types>
          <w:type w:val="bbPlcHdr"/>
        </w:types>
        <w:behaviors>
          <w:behavior w:val="content"/>
        </w:behaviors>
        <w:description w:val=""/>
        <w:guid w:val="{65414CB8-866F-4122-8099-1636C23D732D}"/>
      </w:docPartPr>
      <w:docPartBody>
        <w:p w14:paraId="7DBD1D0D">
          <w:pPr>
            <w:pStyle w:val="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7E270E"/>
    <w:rsid w:val="00295394"/>
    <w:rsid w:val="00587028"/>
    <w:rsid w:val="007E2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07A414EDCB4A429A829489051ADF34A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01b5feef-f2fa-4cb5-9543-1c43da5cbbef</errorID>
      <errorWord xmlns="http://schemas.wps.cn/vas-ai-hub/contract-review">粘土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黏土</item>
      </candidateList>
      <explain xmlns="http://schemas.wps.cn/vas-ai-hub/contract-review">存在发音相同字词的误用。</explain>
      <paraID xmlns="http://schemas.wps.cn/vas-ai-hub/contract-review">54BBBF5C</paraID>
      <start xmlns="http://schemas.wps.cn/vas-ai-hub/contract-review">38</start>
      <end xmlns="http://schemas.wps.cn/vas-ai-hub/contract-review">40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ecb0685e-906f-41fe-84ce-8d1f47c6b352</errorID>
      <errorWord xmlns="http://schemas.wps.cn/vas-ai-hub/contract-review">一般</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输水管道一般</item>
      </candidateList>
      <explain xmlns="http://schemas.wps.cn/vas-ai-hub/contract-review"/>
      <paraID xmlns="http://schemas.wps.cn/vas-ai-hub/contract-review">159DA218</paraID>
      <start xmlns="http://schemas.wps.cn/vas-ai-hub/contract-review">5</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4973b5ce-3234-46ae-895a-2863cccab411</errorID>
      <errorWord xmlns="http://schemas.wps.cn/vas-ai-hub/contract-review">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为</item>
      </candidateList>
      <explain xmlns="http://schemas.wps.cn/vas-ai-hub/contract-review"/>
      <paraID xmlns="http://schemas.wps.cn/vas-ai-hub/contract-review">159DA218</paraID>
      <start xmlns="http://schemas.wps.cn/vas-ai-hub/contract-review">7</start>
      <end xmlns="http://schemas.wps.cn/vas-ai-hub/contract-review">8</end>
      <status xmlns="http://schemas.wps.cn/vas-ai-hub/contract-review">modified</status>
      <modifiedWord xmlns="http://schemas.wps.cn/vas-ai-hub/contract-review">为</modifiedWord>
      <trackRevisions xmlns="http://schemas.wps.cn/vas-ai-hub/contract-review">false</trackRevisions>
    </reviewItem>
    <reviewItem xmlns="http://schemas.wps.cn/vas-ai-hub/contract-review">
      <errorID xmlns="http://schemas.wps.cn/vas-ai-hub/contract-review">b039daa1-357d-4dab-99c5-61af4e6b4032</errorID>
      <errorWord xmlns="http://schemas.wps.cn/vas-ai-hub/contract-review">土壤</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的土壤</item>
      </candidateList>
      <explain xmlns="http://schemas.wps.cn/vas-ai-hub/contract-review"/>
      <paraID xmlns="http://schemas.wps.cn/vas-ai-hub/contract-review">518ADE48</paraID>
      <start xmlns="http://schemas.wps.cn/vas-ai-hub/contract-review">12</start>
      <end xmlns="http://schemas.wps.cn/vas-ai-hub/contract-review">15</end>
      <status xmlns="http://schemas.wps.cn/vas-ai-hub/contract-review">modified</status>
      <modifiedWord xmlns="http://schemas.wps.cn/vas-ai-hub/contract-review">的土壤</modifiedWord>
      <trackRevisions xmlns="http://schemas.wps.cn/vas-ai-hub/contract-review">false</trackRevisions>
    </reviewItem>
    <reviewItem xmlns="http://schemas.wps.cn/vas-ai-hub/contract-review">
      <errorID xmlns="http://schemas.wps.cn/vas-ai-hub/contract-review">505f2e97-f96a-4796-b6ca-5445cd0273a2</errorID>
      <errorWord xmlns="http://schemas.wps.cn/vas-ai-hub/contract-review">一般</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，一般</item>
      </candidateList>
      <explain xmlns="http://schemas.wps.cn/vas-ai-hub/contract-review"/>
      <paraID xmlns="http://schemas.wps.cn/vas-ai-hub/contract-review"> 16DEA99</paraID>
      <start xmlns="http://schemas.wps.cn/vas-ai-hub/contract-review">6</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462ecd08-303d-430c-a4b9-9ea8aad96f92</errorID>
      <errorWord xmlns="http://schemas.wps.cn/vas-ai-hub/contract-review">撒施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撒施</item>
      </candidateList>
      <explain xmlns="http://schemas.wps.cn/vas-ai-hub/contract-review"/>
      <paraID xmlns="http://schemas.wps.cn/vas-ai-hub/contract-review">3D3388E3</paraID>
      <start xmlns="http://schemas.wps.cn/vas-ai-hub/contract-review">7</start>
      <end xmlns="http://schemas.wps.cn/vas-ai-hub/contract-review">10</end>
      <status xmlns="http://schemas.wps.cn/vas-ai-hub/contract-review">modified</status>
      <modifiedWord xmlns="http://schemas.wps.cn/vas-ai-hub/contract-review"> 撒施</modifiedWord>
      <trackRevisions xmlns="http://schemas.wps.cn/vas-ai-hub/contract-review">false</trackRevisions>
    </reviewItem>
    <reviewItem xmlns="http://schemas.wps.cn/vas-ai-hub/contract-review">
      <errorID xmlns="http://schemas.wps.cn/vas-ai-hub/contract-review">d5cc01c7-d2b6-49bc-9d5c-1979c44aa31c</errorID>
      <errorWord xmlns="http://schemas.wps.cn/vas-ai-hub/contract-review">借助于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借助</item>
      </candidateList>
      <explain xmlns="http://schemas.wps.cn/vas-ai-hub/contract-review"/>
      <paraID xmlns="http://schemas.wps.cn/vas-ai-hub/contract-review">42CFD2A2</paraID>
      <start xmlns="http://schemas.wps.cn/vas-ai-hub/contract-review">45</start>
      <end xmlns="http://schemas.wps.cn/vas-ai-hub/contract-review">47</end>
      <status xmlns="http://schemas.wps.cn/vas-ai-hub/contract-review">modified</status>
      <modifiedWord xmlns="http://schemas.wps.cn/vas-ai-hub/contract-review">借助</modifiedWord>
      <trackRevisions xmlns="http://schemas.wps.cn/vas-ai-hub/contract-review">false</trackRevisions>
    </reviewItem>
    <reviewItem xmlns="http://schemas.wps.cn/vas-ai-hub/contract-review">
      <errorID xmlns="http://schemas.wps.cn/vas-ai-hub/contract-review">bb035624-c5e4-4537-afc6-05836c2f62fb</errorID>
      <errorWord xmlns="http://schemas.wps.cn/vas-ai-hub/contract-review">马齿笕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马齿苋</item>
      </candidateList>
      <explain xmlns="http://schemas.wps.cn/vas-ai-hub/contract-review"/>
      <paraID xmlns="http://schemas.wps.cn/vas-ai-hub/contract-review">5A02D933</paraID>
      <start xmlns="http://schemas.wps.cn/vas-ai-hub/contract-review">20</start>
      <end xmlns="http://schemas.wps.cn/vas-ai-hub/contract-review">23</end>
      <status xmlns="http://schemas.wps.cn/vas-ai-hub/contract-review">modified</status>
      <modifiedWord xmlns="http://schemas.wps.cn/vas-ai-hub/contract-review">马齿苋</modifiedWord>
      <trackRevisions xmlns="http://schemas.wps.cn/vas-ai-hub/contract-review">false</trackRevisions>
    </reviewItem>
    <reviewItem xmlns="http://schemas.wps.cn/vas-ai-hub/contract-review">
      <errorID xmlns="http://schemas.wps.cn/vas-ai-hub/contract-review">887c03dc-3a2c-4332-8347-8ac535376c91</errorID>
      <errorWord xmlns="http://schemas.wps.cn/vas-ai-hub/contract-review">粘虫</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黏虫</item>
      </candidateList>
      <explain xmlns="http://schemas.wps.cn/vas-ai-hub/contract-review"/>
      <paraID xmlns="http://schemas.wps.cn/vas-ai-hub/contract-review"> 8134F2E</paraID>
      <start xmlns="http://schemas.wps.cn/vas-ai-hub/contract-review">54</start>
      <end xmlns="http://schemas.wps.cn/vas-ai-hub/contract-review">56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822425f0-096e-4bc5-aa5d-8cd0d1ac0505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6891E402</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1a10bf81-a3b2-4901-b39f-6d7d846d85b7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90FE2FA</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56403076-84c2-4060-ba5e-009ca353b6ef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11D91173</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f120a0ee-9543-4add-ad57-af8010889a9b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B6641A1</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4396bdd3-da7a-4210-be49-c699da3008ad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3D2CEFEB</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65dac5eb-9169-418a-97cd-880f0b9dc32e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71D0BCE7</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da83984a-6652-4868-bb9a-2fb10ab96d31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2C472F0A</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cfed37bd-3529-4b24-b007-7ab7e538a180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628F14A1</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8b2b7cda-a864-43a4-9bd1-ca7657aed1c8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6B358D96</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8af9c435-bdac-4b89-a3a4-daedc0fe9898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4D063D4A</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3C43D-8BF3-424D-9BBB-2813DF762D0B}">
  <ds:schemaRefs/>
</ds:datastoreItem>
</file>

<file path=customXml/itemProps2.xml><?xml version="1.0" encoding="utf-8"?>
<ds:datastoreItem xmlns:ds="http://schemas.openxmlformats.org/officeDocument/2006/customXml" ds:itemID="{8799D7BE-58AF-48A6-AB56-55A0FE31ABA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3881</Words>
  <Characters>4486</Characters>
  <Lines>34</Lines>
  <Paragraphs>9</Paragraphs>
  <TotalTime>13</TotalTime>
  <ScaleCrop>false</ScaleCrop>
  <LinksUpToDate>false</LinksUpToDate>
  <CharactersWithSpaces>4615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2024-10-17T18:59:00Z</dcterms:created>
  <dc:creator>志成</dc:creator>
  <cp:lastModifiedBy>房正</cp:lastModifiedBy>
  <dcterms:modified xsi:type="dcterms:W3CDTF">2026-04-15T01:13:45Z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4CCDB5EDF2034377AEBA4FFB6B623BBE_13</vt:lpwstr>
  </property>
  <property fmtid="{D5CDD505-2E9C-101B-9397-08002B2CF9AE}" pid="4" name="KSOTemplateDocerSaveRecord">
    <vt:lpwstr>eyJoZGlkIjoiMGUyOGZlMzdlZWEyMGFlYzc0ZWE1MGJlZjA4NmY3NTMiLCJ1c2VySWQiOiIyNzM3NDc2MDMifQ==</vt:lpwstr>
  </property>
</Properties>
</file>