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9E93D">
      <w:pPr>
        <w:jc w:val="center"/>
        <w:rPr>
          <w:rFonts w:ascii="方正小标宋_GBK" w:hAnsi="方正小标宋_GBK" w:eastAsia="方正小标宋_GBK" w:cs="方正小标宋_GBK"/>
          <w:spacing w:val="2"/>
          <w:w w:val="98"/>
          <w:kern w:val="0"/>
          <w:sz w:val="36"/>
          <w:szCs w:val="36"/>
        </w:rPr>
      </w:pPr>
      <w:r>
        <w:rPr>
          <w:rFonts w:hint="eastAsia" w:ascii="方正小标宋_GBK" w:hAnsi="方正小标宋_GBK" w:eastAsia="方正小标宋_GBK" w:cs="方正小标宋_GBK"/>
          <w:spacing w:val="2"/>
          <w:w w:val="98"/>
          <w:kern w:val="0"/>
          <w:sz w:val="36"/>
          <w:szCs w:val="36"/>
        </w:rPr>
        <w:t>《</w:t>
      </w:r>
      <w:r>
        <w:rPr>
          <w:rFonts w:hint="eastAsia" w:ascii="方正小标宋_GBK" w:hAnsi="方正小标宋_GBK" w:eastAsia="方正小标宋_GBK" w:cs="方正小标宋_GBK"/>
          <w:kern w:val="0"/>
          <w:sz w:val="36"/>
          <w:szCs w:val="36"/>
        </w:rPr>
        <w:t>绿色食品 北方地区鲜食玉米生产操作规程</w:t>
      </w:r>
      <w:r>
        <w:rPr>
          <w:rFonts w:hint="eastAsia" w:ascii="方正小标宋_GBK" w:hAnsi="方正小标宋_GBK" w:eastAsia="方正小标宋_GBK" w:cs="方正小标宋_GBK"/>
          <w:spacing w:val="2"/>
          <w:w w:val="98"/>
          <w:kern w:val="0"/>
          <w:sz w:val="36"/>
          <w:szCs w:val="36"/>
        </w:rPr>
        <w:t>》</w:t>
      </w:r>
    </w:p>
    <w:p w14:paraId="133C0958">
      <w:pPr>
        <w:jc w:val="center"/>
        <w:rPr>
          <w:rFonts w:ascii="方正小标宋_GBK" w:hAnsi="方正小标宋_GBK" w:eastAsia="方正小标宋_GBK" w:cs="方正小标宋_GBK"/>
          <w:spacing w:val="2"/>
          <w:kern w:val="0"/>
          <w:sz w:val="36"/>
          <w:szCs w:val="36"/>
        </w:rPr>
      </w:pPr>
      <w:r>
        <w:rPr>
          <w:rFonts w:hint="eastAsia" w:ascii="方正小标宋_GBK" w:hAnsi="方正小标宋_GBK" w:eastAsia="方正小标宋_GBK" w:cs="方正小标宋_GBK"/>
          <w:spacing w:val="2"/>
          <w:kern w:val="0"/>
          <w:sz w:val="36"/>
          <w:szCs w:val="36"/>
        </w:rPr>
        <w:t>团体标准编制说明</w:t>
      </w:r>
    </w:p>
    <w:p w14:paraId="527F7D6B">
      <w:pPr>
        <w:jc w:val="left"/>
        <w:rPr>
          <w:rFonts w:ascii="黑体" w:hAnsi="黑体" w:eastAsia="黑体" w:cs="Times New Roman"/>
          <w:kern w:val="0"/>
          <w:sz w:val="28"/>
          <w:szCs w:val="28"/>
        </w:rPr>
      </w:pPr>
    </w:p>
    <w:p w14:paraId="1B6ADA3F">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制定适应北方地区气候与生产条件的鲜食玉米规范化生产操作规程，是满足消费者对健康食品日益增长的需求，大力发展优质、安全、营养丰富的鲜食玉米产品，提升北方地区鲜食玉米产业竞争力和经济效益的重要举措，是保障鲜食玉米品质稳定、推动产业标准化发展的关键环节。</w:t>
      </w:r>
    </w:p>
    <w:p w14:paraId="37B633B7">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经过对我国北方地区鲜食玉米主产区的种植模式、田间管理及采收加工等实际生产情况调研论证，查阅我国鲜食玉米相关技术文献和现行标准，目前尚缺乏针对北方地区鲜食玉米生产过程的绿色食品相关标准，在生产实际中制约了鲜食玉米产品的品质提升和品牌建设。</w:t>
      </w:r>
    </w:p>
    <w:p w14:paraId="1848F949">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为此，中国绿色食品发展中心会同相关农业科研、技术推广等单位及生产企业，按照绿色食品的产品标准、农药使用准则、肥料使用准则和相关生产操作规程，结合北方地区鲜食玉米生产特点，总结制定了北方地区鲜食玉米生产过程中的关键控制技术规程。按照国家相关标准的制定要求，形成了《绿色食品 北方地区鲜食玉米生产操作规程》团体标准报审稿。在规程制定过程中，突出增强绿色食品的质量标准要求，强化生产操作中的实用性，有效提升了标准实施的适用性，为促进北方地区鲜食玉米标准化生产提供技术支持与标准依据。</w:t>
      </w:r>
    </w:p>
    <w:p w14:paraId="1631A175">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29A0E803">
      <w:pPr>
        <w:ind w:firstLine="643" w:firstLineChars="200"/>
        <w:rPr>
          <w:rFonts w:ascii="楷体" w:hAnsi="楷体" w:eastAsia="楷体" w:cs="仿宋"/>
          <w:b/>
          <w:sz w:val="32"/>
          <w:szCs w:val="32"/>
        </w:rPr>
      </w:pPr>
      <w:r>
        <w:rPr>
          <w:rFonts w:hint="eastAsia" w:ascii="楷体" w:hAnsi="楷体" w:eastAsia="楷体" w:cs="仿宋"/>
          <w:b/>
          <w:sz w:val="32"/>
          <w:szCs w:val="32"/>
        </w:rPr>
        <w:t>（一）任务来源</w:t>
      </w:r>
    </w:p>
    <w:p w14:paraId="28A47CFA">
      <w:pPr>
        <w:tabs>
          <w:tab w:val="left" w:pos="5954"/>
        </w:tabs>
        <w:spacing w:line="276" w:lineRule="auto"/>
        <w:ind w:firstLine="640" w:firstLineChars="200"/>
        <w:rPr>
          <w:rFonts w:ascii="仿宋" w:hAnsi="仿宋" w:eastAsia="仿宋" w:cs="宋体"/>
          <w:spacing w:val="-2"/>
          <w:sz w:val="32"/>
          <w:szCs w:val="32"/>
        </w:rPr>
      </w:pPr>
      <w:r>
        <w:rPr>
          <w:rFonts w:ascii="仿宋" w:hAnsi="仿宋" w:eastAsia="仿宋" w:cs="宋体"/>
          <w:sz w:val="32"/>
          <w:szCs w:val="32"/>
        </w:rPr>
        <w:t>为贯彻</w:t>
      </w:r>
      <w:r>
        <w:rPr>
          <w:rFonts w:ascii="仿宋" w:hAnsi="仿宋" w:eastAsia="仿宋" w:cs="宋体"/>
          <w:spacing w:val="-2"/>
          <w:sz w:val="32"/>
          <w:szCs w:val="32"/>
        </w:rPr>
        <w:t>《农业农村部关于实施农产品“三品一标”四大行动的通知》</w:t>
      </w:r>
      <w:r>
        <w:rPr>
          <w:rFonts w:hint="eastAsia" w:ascii="仿宋" w:hAnsi="仿宋" w:eastAsia="仿宋" w:cs="宋体"/>
          <w:spacing w:val="-2"/>
          <w:sz w:val="32"/>
          <w:szCs w:val="32"/>
        </w:rPr>
        <w:t>等</w:t>
      </w:r>
      <w:r>
        <w:rPr>
          <w:rFonts w:ascii="仿宋" w:hAnsi="仿宋" w:eastAsia="仿宋" w:cs="宋体"/>
          <w:sz w:val="32"/>
          <w:szCs w:val="32"/>
        </w:rPr>
        <w:t>文件要求</w:t>
      </w:r>
      <w:r>
        <w:rPr>
          <w:rFonts w:hint="eastAsia" w:ascii="仿宋" w:hAnsi="仿宋" w:eastAsia="仿宋" w:cs="宋体"/>
          <w:sz w:val="32"/>
          <w:szCs w:val="32"/>
        </w:rPr>
        <w:t>，不断推动新型农业经营主体按标生产，着力打造标准化引领农产品效益竞争力提升的发展典型和两个‘三品一标’协同发展的示范样板。进一步规范北方鲜食玉米行业发展</w:t>
      </w:r>
      <w:r>
        <w:rPr>
          <w:rFonts w:hint="eastAsia" w:ascii="仿宋" w:hAnsi="仿宋" w:eastAsia="仿宋" w:cs="宋体"/>
          <w:spacing w:val="-2"/>
          <w:sz w:val="32"/>
          <w:szCs w:val="32"/>
        </w:rPr>
        <w:t>，增加</w:t>
      </w:r>
      <w:r>
        <w:rPr>
          <w:rFonts w:hint="eastAsia" w:ascii="仿宋" w:hAnsi="仿宋" w:eastAsia="仿宋" w:cs="仿宋"/>
          <w:sz w:val="32"/>
          <w:szCs w:val="32"/>
        </w:rPr>
        <w:t>绿色食品产品</w:t>
      </w:r>
      <w:r>
        <w:rPr>
          <w:rFonts w:hint="eastAsia" w:ascii="仿宋" w:hAnsi="仿宋" w:eastAsia="仿宋" w:cs="宋体"/>
          <w:spacing w:val="-2"/>
          <w:sz w:val="32"/>
          <w:szCs w:val="32"/>
        </w:rPr>
        <w:t>供给，中国绿色食品发展中心</w:t>
      </w:r>
      <w:r>
        <w:rPr>
          <w:rFonts w:hint="eastAsia" w:ascii="仿宋" w:hAnsi="仿宋" w:eastAsia="仿宋" w:cs="宋体"/>
          <w:sz w:val="32"/>
          <w:szCs w:val="32"/>
        </w:rPr>
        <w:t>提出</w:t>
      </w:r>
      <w:r>
        <w:rPr>
          <w:rFonts w:hint="eastAsia" w:ascii="仿宋" w:hAnsi="仿宋" w:eastAsia="仿宋" w:cs="仿宋"/>
          <w:sz w:val="32"/>
          <w:szCs w:val="32"/>
        </w:rPr>
        <w:t>《绿色食品 北方地区鲜食玉米生产操作规程》</w:t>
      </w:r>
      <w:r>
        <w:rPr>
          <w:rFonts w:hint="eastAsia" w:ascii="仿宋" w:hAnsi="仿宋" w:eastAsia="仿宋" w:cs="宋体"/>
          <w:spacing w:val="-2"/>
          <w:sz w:val="32"/>
          <w:szCs w:val="32"/>
        </w:rPr>
        <w:t>团体标准的编制意向，并</w:t>
      </w:r>
      <w:r>
        <w:rPr>
          <w:rFonts w:hint="eastAsia" w:ascii="仿宋" w:hAnsi="仿宋" w:eastAsia="仿宋" w:cs="宋体"/>
          <w:sz w:val="32"/>
          <w:szCs w:val="32"/>
        </w:rPr>
        <w:t>组织相关专家编写。</w:t>
      </w:r>
    </w:p>
    <w:p w14:paraId="61E0E5BF">
      <w:pPr>
        <w:ind w:firstLine="643" w:firstLineChars="200"/>
        <w:rPr>
          <w:rFonts w:ascii="楷体" w:hAnsi="楷体" w:eastAsia="楷体" w:cs="仿宋"/>
          <w:b/>
          <w:sz w:val="32"/>
          <w:szCs w:val="32"/>
        </w:rPr>
      </w:pPr>
      <w:r>
        <w:rPr>
          <w:rFonts w:hint="eastAsia" w:ascii="楷体" w:hAnsi="楷体" w:eastAsia="楷体" w:cs="仿宋"/>
          <w:b/>
          <w:sz w:val="32"/>
          <w:szCs w:val="32"/>
        </w:rPr>
        <w:t>（二）起草单位</w:t>
      </w:r>
    </w:p>
    <w:p w14:paraId="5C74DC01">
      <w:pPr>
        <w:tabs>
          <w:tab w:val="left" w:pos="5954"/>
        </w:tabs>
        <w:spacing w:line="276" w:lineRule="auto"/>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p>
    <w:p w14:paraId="71ADA4DA">
      <w:pPr>
        <w:ind w:firstLine="643" w:firstLineChars="200"/>
        <w:rPr>
          <w:rFonts w:ascii="楷体" w:hAnsi="楷体" w:eastAsia="楷体" w:cs="仿宋"/>
          <w:b/>
          <w:sz w:val="32"/>
          <w:szCs w:val="32"/>
        </w:rPr>
      </w:pPr>
      <w:r>
        <w:rPr>
          <w:rFonts w:hint="eastAsia" w:ascii="楷体" w:hAnsi="楷体" w:eastAsia="楷体" w:cs="仿宋"/>
          <w:b/>
          <w:sz w:val="32"/>
          <w:szCs w:val="32"/>
        </w:rPr>
        <w:t>（三）主要起草人</w:t>
      </w:r>
    </w:p>
    <w:p w14:paraId="186BE0E8">
      <w:pPr>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w:t>
      </w:r>
    </w:p>
    <w:p w14:paraId="10B853BE">
      <w:pPr>
        <w:ind w:firstLine="640" w:firstLineChars="200"/>
        <w:rPr>
          <w:rFonts w:ascii="黑体" w:hAnsi="黑体" w:eastAsia="黑体" w:cs="Times New Roman"/>
          <w:kern w:val="0"/>
          <w:sz w:val="32"/>
          <w:szCs w:val="32"/>
        </w:rPr>
      </w:pPr>
      <w:bookmarkStart w:id="0" w:name="_GoBack"/>
      <w:bookmarkEnd w:id="0"/>
      <w:r>
        <w:rPr>
          <w:rFonts w:hint="eastAsia" w:ascii="黑体" w:hAnsi="黑体" w:eastAsia="黑体" w:cs="Times New Roman"/>
          <w:kern w:val="0"/>
          <w:sz w:val="32"/>
          <w:szCs w:val="32"/>
        </w:rPr>
        <w:t>三、团体标准的编制情况</w:t>
      </w:r>
    </w:p>
    <w:p w14:paraId="2CCC6B16">
      <w:pPr>
        <w:widowControl/>
        <w:spacing w:line="360" w:lineRule="auto"/>
        <w:ind w:firstLine="640" w:firstLineChars="200"/>
        <w:jc w:val="left"/>
        <w:rPr>
          <w:rFonts w:ascii="仿宋" w:hAnsi="仿宋" w:eastAsia="仿宋" w:cs="仿宋"/>
          <w:sz w:val="32"/>
          <w:szCs w:val="32"/>
        </w:rPr>
      </w:pPr>
      <w:r>
        <w:rPr>
          <w:rFonts w:hint="eastAsia" w:ascii="仿宋" w:hAnsi="仿宋" w:eastAsia="仿宋"/>
          <w:sz w:val="32"/>
          <w:szCs w:val="32"/>
        </w:rPr>
        <w:t>本团体标准的制定先后经标准起草组成立、资料收集编写、标准研讨、公开征求意见、标准评审五个环节。</w:t>
      </w:r>
      <w:r>
        <w:rPr>
          <w:rFonts w:hint="eastAsia" w:ascii="仿宋" w:hAnsi="仿宋" w:eastAsia="仿宋" w:cs="宋体"/>
          <w:sz w:val="32"/>
          <w:szCs w:val="32"/>
        </w:rPr>
        <w:t>标准起草工作组按照进度计划，开展了资料收集工作，收集了相关政策法规、现行有效标准等相关技术资料。在进</w:t>
      </w:r>
      <w:r>
        <w:rPr>
          <w:rFonts w:hint="eastAsia" w:ascii="仿宋" w:hAnsi="仿宋" w:eastAsia="仿宋"/>
          <w:sz w:val="32"/>
          <w:szCs w:val="32"/>
        </w:rPr>
        <w:t>行了充分细致的研究和资料分析总结的基础上，确定了本标准的编写提纲、编写原则、内容和起草人员，严格按照《绿色食品产品标准》、《绿色食品农药使用准则》、《绿色食品兽药使用准则》、《绿色食品肥料使用准则》等绿色产品生产标准编拟定了团体标准初稿草案。标准起草工作组及时召开内部讨论会，对标准内容进行修改完善，形成了标准征求意见稿。</w:t>
      </w:r>
    </w:p>
    <w:p w14:paraId="0847AB12">
      <w:pPr>
        <w:ind w:firstLine="640" w:firstLineChars="200"/>
        <w:rPr>
          <w:rFonts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2488FE91">
      <w:pPr>
        <w:ind w:firstLine="643" w:firstLineChars="200"/>
        <w:rPr>
          <w:rFonts w:ascii="楷体" w:hAnsi="楷体" w:eastAsia="楷体" w:cs="仿宋"/>
          <w:b/>
          <w:sz w:val="32"/>
          <w:szCs w:val="32"/>
        </w:rPr>
      </w:pPr>
      <w:r>
        <w:rPr>
          <w:rFonts w:hint="eastAsia" w:ascii="楷体" w:hAnsi="楷体" w:eastAsia="楷体" w:cs="仿宋"/>
          <w:b/>
          <w:sz w:val="32"/>
          <w:szCs w:val="32"/>
        </w:rPr>
        <w:t>（一）编制原则</w:t>
      </w:r>
    </w:p>
    <w:p w14:paraId="4704E5AC">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本标准严格</w:t>
      </w:r>
      <w:r>
        <w:rPr>
          <w:rFonts w:ascii="仿宋" w:hAnsi="仿宋" w:eastAsia="仿宋" w:cs="仿宋"/>
          <w:sz w:val="32"/>
          <w:szCs w:val="32"/>
        </w:rPr>
        <w:t>按照GB/T 1.1-2020《标准化工作导则第1部分：标准化文件的结构和</w:t>
      </w:r>
      <w:r>
        <w:rPr>
          <w:rFonts w:hint="eastAsia" w:ascii="仿宋" w:hAnsi="仿宋" w:eastAsia="仿宋" w:cs="仿宋"/>
          <w:sz w:val="32"/>
          <w:szCs w:val="32"/>
        </w:rPr>
        <w:t>起</w:t>
      </w:r>
      <w:r>
        <w:rPr>
          <w:rFonts w:ascii="仿宋" w:hAnsi="仿宋" w:eastAsia="仿宋" w:cs="仿宋"/>
          <w:sz w:val="32"/>
          <w:szCs w:val="32"/>
        </w:rPr>
        <w:t>草规则》的</w:t>
      </w:r>
      <w:r>
        <w:rPr>
          <w:rFonts w:hint="eastAsia" w:ascii="仿宋" w:hAnsi="仿宋" w:eastAsia="仿宋" w:cs="仿宋"/>
          <w:sz w:val="32"/>
          <w:szCs w:val="32"/>
        </w:rPr>
        <w:t>要求编制</w:t>
      </w:r>
      <w:r>
        <w:rPr>
          <w:rFonts w:ascii="仿宋" w:hAnsi="仿宋" w:eastAsia="仿宋"/>
          <w:spacing w:val="1"/>
          <w:sz w:val="32"/>
          <w:szCs w:val="32"/>
        </w:rPr>
        <w:t>。</w:t>
      </w:r>
      <w:r>
        <w:rPr>
          <w:rFonts w:hint="eastAsia" w:ascii="仿宋" w:hAnsi="仿宋" w:eastAsia="仿宋"/>
          <w:spacing w:val="1"/>
          <w:sz w:val="32"/>
          <w:szCs w:val="32"/>
        </w:rPr>
        <w:t>标准按照</w:t>
      </w:r>
      <w:r>
        <w:rPr>
          <w:rFonts w:hint="eastAsia" w:ascii="仿宋" w:hAnsi="仿宋" w:eastAsia="仿宋" w:cs="仿宋"/>
          <w:sz w:val="32"/>
          <w:szCs w:val="32"/>
        </w:rPr>
        <w:t>必要性、适用性、科学性原则编写。</w:t>
      </w:r>
    </w:p>
    <w:p w14:paraId="5F38E185">
      <w:pPr>
        <w:spacing w:line="276" w:lineRule="auto"/>
        <w:ind w:firstLine="643" w:firstLineChars="200"/>
        <w:jc w:val="left"/>
        <w:rPr>
          <w:rFonts w:ascii="楷体" w:hAnsi="楷体" w:eastAsia="楷体"/>
          <w:b/>
          <w:bCs/>
          <w:sz w:val="32"/>
          <w:szCs w:val="32"/>
        </w:rPr>
      </w:pPr>
      <w:r>
        <w:rPr>
          <w:rFonts w:hint="eastAsia" w:ascii="楷体" w:hAnsi="楷体" w:eastAsia="楷体"/>
          <w:b/>
          <w:bCs/>
          <w:sz w:val="32"/>
          <w:szCs w:val="32"/>
        </w:rPr>
        <w:t>（二）主要内容</w:t>
      </w:r>
    </w:p>
    <w:p w14:paraId="5C4E4B3A">
      <w:pPr>
        <w:spacing w:line="276" w:lineRule="auto"/>
        <w:ind w:firstLine="640" w:firstLineChars="200"/>
        <w:jc w:val="left"/>
        <w:rPr>
          <w:rFonts w:ascii="仿宋" w:hAnsi="仿宋" w:eastAsia="仿宋"/>
          <w:bCs/>
          <w:sz w:val="32"/>
          <w:szCs w:val="32"/>
        </w:rPr>
      </w:pPr>
      <w:r>
        <w:rPr>
          <w:rFonts w:hint="eastAsia" w:ascii="仿宋" w:hAnsi="仿宋" w:eastAsia="仿宋" w:cs="Times New Roman"/>
          <w:kern w:val="0"/>
          <w:sz w:val="32"/>
          <w:szCs w:val="32"/>
        </w:rPr>
        <w:t>1.范围</w:t>
      </w:r>
    </w:p>
    <w:p w14:paraId="235CC0B5">
      <w:pPr>
        <w:widowControl/>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文件规定了</w:t>
      </w:r>
      <w:r>
        <w:rPr>
          <w:rFonts w:hint="eastAsia" w:ascii="仿宋" w:hAnsi="仿宋" w:eastAsia="仿宋" w:cs="仿宋"/>
          <w:sz w:val="32"/>
          <w:szCs w:val="32"/>
        </w:rPr>
        <w:t>绿色食品北方地区鲜食玉米的生产操作规程，包含产地、选种、管护、采收、加工、贮运和建档的全过程管理</w:t>
      </w:r>
      <w:r>
        <w:rPr>
          <w:rFonts w:hint="eastAsia" w:ascii="仿宋" w:hAnsi="仿宋" w:eastAsia="仿宋" w:cs="Times New Roman"/>
          <w:kern w:val="0"/>
          <w:sz w:val="32"/>
          <w:szCs w:val="32"/>
        </w:rPr>
        <w:t>。</w:t>
      </w:r>
    </w:p>
    <w:p w14:paraId="33DF04AF">
      <w:pPr>
        <w:ind w:firstLine="640" w:firstLineChars="200"/>
        <w:rPr>
          <w:rFonts w:ascii="仿宋" w:hAnsi="仿宋" w:eastAsia="仿宋" w:cs="Times New Roman"/>
          <w:kern w:val="0"/>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cs="Times New Roman"/>
          <w:kern w:val="0"/>
          <w:sz w:val="32"/>
          <w:szCs w:val="32"/>
        </w:rPr>
        <w:t>规范性引用文件</w:t>
      </w:r>
    </w:p>
    <w:p w14:paraId="3377EAB6">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主要涉及必须引用的国家标准、行业标准。</w:t>
      </w:r>
    </w:p>
    <w:p w14:paraId="2845CEB8">
      <w:pPr>
        <w:spacing w:line="276" w:lineRule="auto"/>
        <w:ind w:firstLine="640" w:firstLineChars="200"/>
        <w:jc w:val="left"/>
        <w:rPr>
          <w:rFonts w:ascii="仿宋" w:hAnsi="仿宋" w:eastAsia="仿宋" w:cs="Times New Roman"/>
          <w:kern w:val="0"/>
          <w:sz w:val="32"/>
          <w:szCs w:val="32"/>
        </w:rPr>
      </w:pPr>
      <w:r>
        <w:rPr>
          <w:rFonts w:ascii="仿宋" w:hAnsi="仿宋" w:eastAsia="仿宋"/>
          <w:sz w:val="32"/>
          <w:szCs w:val="32"/>
        </w:rPr>
        <w:t>3</w:t>
      </w:r>
      <w:r>
        <w:rPr>
          <w:rFonts w:hint="eastAsia" w:ascii="仿宋" w:hAnsi="仿宋" w:eastAsia="仿宋"/>
          <w:sz w:val="32"/>
          <w:szCs w:val="32"/>
        </w:rPr>
        <w:t>.</w:t>
      </w:r>
      <w:r>
        <w:rPr>
          <w:rFonts w:hint="eastAsia" w:ascii="仿宋" w:hAnsi="仿宋" w:eastAsia="仿宋" w:cs="Times New Roman"/>
          <w:kern w:val="0"/>
          <w:sz w:val="32"/>
          <w:szCs w:val="32"/>
        </w:rPr>
        <w:t>技术规程主要内容</w:t>
      </w:r>
    </w:p>
    <w:p w14:paraId="7E5D8CEC">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仿宋"/>
          <w:sz w:val="32"/>
          <w:szCs w:val="32"/>
        </w:rPr>
        <w:t>技术规程对北方地区鲜食玉米的产地环境、品种选择、整地与播种、田间管理、采收与保鲜加工、生产废弃物的处理、贮藏与运输和建立生产档案八个生产过程关键控制点进行明确的标准要求</w:t>
      </w:r>
      <w:r>
        <w:rPr>
          <w:rFonts w:hint="eastAsia" w:ascii="仿宋" w:hAnsi="仿宋" w:eastAsia="仿宋" w:cs="Times New Roman"/>
          <w:kern w:val="0"/>
          <w:sz w:val="32"/>
          <w:szCs w:val="32"/>
        </w:rPr>
        <w:t>。</w:t>
      </w:r>
    </w:p>
    <w:p w14:paraId="70665B11">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4.标准附录</w:t>
      </w:r>
    </w:p>
    <w:p w14:paraId="77AF77C5">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根据北方地区鲜食玉米生产过程中病虫草害防治需求，附录《绿色食品 北方地区鲜食玉米生产主要病虫草害化学防治方案》。</w:t>
      </w:r>
    </w:p>
    <w:p w14:paraId="12E94EED">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3F4ADC43">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01E1247C">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3D08BD83">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4E062DCA">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0530725C">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336CB902">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64AE4EA2">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3F24017E">
      <w:pPr>
        <w:spacing w:line="276" w:lineRule="auto"/>
        <w:jc w:val="left"/>
        <w:rPr>
          <w:rFonts w:ascii="仿宋" w:hAnsi="仿宋" w:eastAsia="仿宋" w:cs="Times New Roman"/>
          <w:kern w:val="0"/>
          <w:sz w:val="32"/>
          <w:szCs w:val="32"/>
        </w:rPr>
      </w:pPr>
    </w:p>
    <w:p w14:paraId="3D199B0D">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6C970D3E">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w:t>
      </w:r>
      <w:r>
        <w:rPr>
          <w:rFonts w:hint="eastAsia" w:ascii="仿宋" w:hAnsi="仿宋" w:eastAsia="仿宋" w:cs="Times New Roman"/>
          <w:kern w:val="0"/>
          <w:sz w:val="32"/>
          <w:szCs w:val="32"/>
        </w:rPr>
        <w:t>26年3月30日</w:t>
      </w:r>
    </w:p>
    <w:p w14:paraId="758407F6">
      <w:pPr>
        <w:rPr>
          <w:rFonts w:ascii="黑体" w:hAnsi="黑体" w:eastAsia="黑体" w:cs="Times New Roman"/>
          <w:kern w:val="0"/>
          <w:sz w:val="28"/>
          <w:szCs w:val="28"/>
        </w:rPr>
      </w:pPr>
    </w:p>
    <w:p w14:paraId="3F6B903E">
      <w:pPr>
        <w:rPr>
          <w:rFonts w:ascii="黑体" w:hAnsi="黑体" w:eastAsia="黑体"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4F16"/>
    <w:rsid w:val="000851AE"/>
    <w:rsid w:val="0009469E"/>
    <w:rsid w:val="000B313D"/>
    <w:rsid w:val="000C1623"/>
    <w:rsid w:val="00111057"/>
    <w:rsid w:val="00122ED8"/>
    <w:rsid w:val="002312ED"/>
    <w:rsid w:val="002776F5"/>
    <w:rsid w:val="0028680D"/>
    <w:rsid w:val="002B020B"/>
    <w:rsid w:val="00324047"/>
    <w:rsid w:val="0033380B"/>
    <w:rsid w:val="00356D32"/>
    <w:rsid w:val="003B5BA9"/>
    <w:rsid w:val="003F0ACC"/>
    <w:rsid w:val="003F4456"/>
    <w:rsid w:val="003F64A1"/>
    <w:rsid w:val="004078ED"/>
    <w:rsid w:val="004F0047"/>
    <w:rsid w:val="004F572E"/>
    <w:rsid w:val="004F68D8"/>
    <w:rsid w:val="00500BAA"/>
    <w:rsid w:val="0053147A"/>
    <w:rsid w:val="0054620C"/>
    <w:rsid w:val="00553C29"/>
    <w:rsid w:val="00587201"/>
    <w:rsid w:val="005E19B2"/>
    <w:rsid w:val="00616618"/>
    <w:rsid w:val="00616824"/>
    <w:rsid w:val="00672905"/>
    <w:rsid w:val="006729A3"/>
    <w:rsid w:val="006A4089"/>
    <w:rsid w:val="0072625F"/>
    <w:rsid w:val="0075168C"/>
    <w:rsid w:val="007625F4"/>
    <w:rsid w:val="00787233"/>
    <w:rsid w:val="007C482C"/>
    <w:rsid w:val="00800C51"/>
    <w:rsid w:val="0083134A"/>
    <w:rsid w:val="008521BE"/>
    <w:rsid w:val="008522F4"/>
    <w:rsid w:val="008E1763"/>
    <w:rsid w:val="00977D8D"/>
    <w:rsid w:val="009C2326"/>
    <w:rsid w:val="009C6DAC"/>
    <w:rsid w:val="00B717AA"/>
    <w:rsid w:val="00B95114"/>
    <w:rsid w:val="00BE32DF"/>
    <w:rsid w:val="00C63ED4"/>
    <w:rsid w:val="00CB628D"/>
    <w:rsid w:val="00D21967"/>
    <w:rsid w:val="00D269D9"/>
    <w:rsid w:val="00D36024"/>
    <w:rsid w:val="00D876D7"/>
    <w:rsid w:val="00E02C85"/>
    <w:rsid w:val="00F268EF"/>
    <w:rsid w:val="00FA2AA7"/>
    <w:rsid w:val="00FB2BFB"/>
    <w:rsid w:val="00FB3799"/>
    <w:rsid w:val="00FE3E29"/>
    <w:rsid w:val="01B6046E"/>
    <w:rsid w:val="020703CD"/>
    <w:rsid w:val="02792173"/>
    <w:rsid w:val="03100052"/>
    <w:rsid w:val="038A1BB2"/>
    <w:rsid w:val="082461A1"/>
    <w:rsid w:val="0B8E5FB8"/>
    <w:rsid w:val="0CEB10AA"/>
    <w:rsid w:val="0DCB52A1"/>
    <w:rsid w:val="0EC83FC8"/>
    <w:rsid w:val="11E6286A"/>
    <w:rsid w:val="123A29F6"/>
    <w:rsid w:val="176D73C9"/>
    <w:rsid w:val="17B217D1"/>
    <w:rsid w:val="183A72AB"/>
    <w:rsid w:val="19AC5F87"/>
    <w:rsid w:val="1F2667DB"/>
    <w:rsid w:val="1F912EB1"/>
    <w:rsid w:val="1FC83753"/>
    <w:rsid w:val="2020147D"/>
    <w:rsid w:val="2079293B"/>
    <w:rsid w:val="238C0BD7"/>
    <w:rsid w:val="2435378F"/>
    <w:rsid w:val="261455E0"/>
    <w:rsid w:val="279F537D"/>
    <w:rsid w:val="292A6EC8"/>
    <w:rsid w:val="29C410CB"/>
    <w:rsid w:val="2AB52EEE"/>
    <w:rsid w:val="2AF459E0"/>
    <w:rsid w:val="2C666469"/>
    <w:rsid w:val="347B0F20"/>
    <w:rsid w:val="36535108"/>
    <w:rsid w:val="388303A3"/>
    <w:rsid w:val="38F90665"/>
    <w:rsid w:val="3AB1520C"/>
    <w:rsid w:val="3FBF0371"/>
    <w:rsid w:val="446773B2"/>
    <w:rsid w:val="45406FD3"/>
    <w:rsid w:val="488F3FB3"/>
    <w:rsid w:val="4AC42881"/>
    <w:rsid w:val="4DFD2182"/>
    <w:rsid w:val="4FAE58AE"/>
    <w:rsid w:val="53F51CFD"/>
    <w:rsid w:val="549F7EBB"/>
    <w:rsid w:val="57355A2F"/>
    <w:rsid w:val="5D6E7CFB"/>
    <w:rsid w:val="5E940365"/>
    <w:rsid w:val="616B1851"/>
    <w:rsid w:val="625A563D"/>
    <w:rsid w:val="64124205"/>
    <w:rsid w:val="647D4D4F"/>
    <w:rsid w:val="67420A75"/>
    <w:rsid w:val="6AB204F0"/>
    <w:rsid w:val="6B086362"/>
    <w:rsid w:val="6CA64085"/>
    <w:rsid w:val="6DE5298B"/>
    <w:rsid w:val="6E9C74ED"/>
    <w:rsid w:val="6FFFBB16"/>
    <w:rsid w:val="706C2EEF"/>
    <w:rsid w:val="733817AF"/>
    <w:rsid w:val="7564688B"/>
    <w:rsid w:val="759B296E"/>
    <w:rsid w:val="761E6A3A"/>
    <w:rsid w:val="772D118B"/>
    <w:rsid w:val="781520BE"/>
    <w:rsid w:val="78F87A16"/>
    <w:rsid w:val="79280397"/>
    <w:rsid w:val="7B51165F"/>
    <w:rsid w:val="BED7FE13"/>
    <w:rsid w:val="F7FAE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1712</Words>
  <Characters>1730</Characters>
  <Lines>12</Lines>
  <Paragraphs>3</Paragraphs>
  <TotalTime>27</TotalTime>
  <ScaleCrop>false</ScaleCrop>
  <LinksUpToDate>false</LinksUpToDate>
  <CharactersWithSpaces>1750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2023-10-10T07:35:00Z</dcterms:created>
  <dc:creator>liqian</dc:creator>
  <cp:lastModifiedBy>房正</cp:lastModifiedBy>
  <dcterms:modified xsi:type="dcterms:W3CDTF">2026-04-15T01:14:11Z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25082E62275D4C19A760A7CA8CB4BB3B_13</vt:lpwstr>
  </property>
  <property fmtid="{D5CDD505-2E9C-101B-9397-08002B2CF9AE}" pid="4" name="KSOTemplateDocerSaveRecord">
    <vt:lpwstr>eyJoZGlkIjoiMGUyOGZlMzdlZWEyMGFlYzc0ZWE1MGJlZjA4NmY3NTMiLCJ1c2VySWQiOiIyNzM3NDc2MDMifQ==</vt:lpwstr>
  </property>
</Properties>
</file>