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9DCC4">
      <w:pPr>
        <w:pStyle w:val="20"/>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T/CGFA***-2026</w:t>
      </w:r>
    </w:p>
    <w:p w14:paraId="17BE35A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5C58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41" w:type="dxa"/>
            <w:tcBorders>
              <w:top w:val="single" w:color="auto" w:sz="8" w:space="0"/>
            </w:tcBorders>
          </w:tcPr>
          <w:p w14:paraId="2AA4C13B">
            <w:pPr>
              <w:pStyle w:val="17"/>
              <w:framePr w:wrap="around"/>
              <w:rPr>
                <w:rFonts w:hint="default"/>
                <w:sz w:val="10"/>
              </w:rPr>
            </w:pPr>
          </w:p>
        </w:tc>
      </w:tr>
    </w:tbl>
    <w:p w14:paraId="2860A177">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绿色食品 南方丘陵地区鲜食玉米</w:t>
      </w:r>
    </w:p>
    <w:p w14:paraId="5B25BFC7">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生产操作规程</w:t>
      </w:r>
    </w:p>
    <w:p w14:paraId="33DBFD8D">
      <w:pPr>
        <w:framePr w:w="9639" w:h="6974" w:hRule="exact" w:wrap="around" w:vAnchor="page" w:hAnchor="page" w:x="1419" w:y="6408"/>
        <w:jc w:val="center"/>
        <w:rPr>
          <w:rFonts w:ascii="Segoe UI" w:hAnsi="Segoe UI" w:eastAsia="Segoe UI" w:cs="Segoe UI"/>
          <w:szCs w:val="21"/>
          <w:shd w:val="clear" w:color="auto" w:fill="EDF1F9"/>
        </w:rPr>
      </w:pPr>
    </w:p>
    <w:p w14:paraId="7427E2E1">
      <w:pPr>
        <w:framePr w:w="9639" w:h="6974" w:hRule="exact" w:wrap="around" w:vAnchor="page" w:hAnchor="page" w:x="1419" w:y="6408"/>
        <w:spacing w:line="560" w:lineRule="exact"/>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 xml:space="preserve">Green Food - </w:t>
      </w:r>
      <w:bookmarkStart w:id="4" w:name="_GoBack"/>
      <w:bookmarkEnd w:id="4"/>
      <w:r>
        <w:rPr>
          <w:rFonts w:ascii="Times New Roman" w:hAnsi="Times New Roman" w:eastAsia="华文中宋" w:cs="Times New Roman"/>
          <w:bCs/>
          <w:sz w:val="24"/>
          <w:szCs w:val="24"/>
        </w:rPr>
        <w:t xml:space="preserve">Operating Procedures for </w:t>
      </w:r>
      <w:r>
        <w:rPr>
          <w:rFonts w:hint="eastAsia" w:ascii="Times New Roman" w:hAnsi="Times New Roman" w:eastAsia="华文中宋" w:cs="Times New Roman"/>
          <w:bCs/>
          <w:sz w:val="24"/>
          <w:szCs w:val="24"/>
        </w:rPr>
        <w:t xml:space="preserve">Fresh </w:t>
      </w:r>
      <w:r>
        <w:rPr>
          <w:rFonts w:ascii="Times New Roman" w:hAnsi="Times New Roman" w:eastAsia="华文中宋" w:cs="Times New Roman"/>
          <w:bCs/>
          <w:sz w:val="24"/>
          <w:szCs w:val="24"/>
        </w:rPr>
        <w:t>Corn Production in Sout</w:t>
      </w:r>
      <w:r>
        <w:rPr>
          <w:rFonts w:hint="eastAsia" w:ascii="Times New Roman" w:hAnsi="Times New Roman" w:eastAsia="华文中宋" w:cs="Times New Roman"/>
          <w:bCs/>
          <w:sz w:val="24"/>
          <w:szCs w:val="24"/>
        </w:rPr>
        <w:t>hern Hilly</w:t>
      </w:r>
      <w:r>
        <w:rPr>
          <w:rFonts w:ascii="Times New Roman" w:hAnsi="Times New Roman" w:eastAsia="华文中宋" w:cs="Times New Roman"/>
          <w:bCs/>
          <w:sz w:val="24"/>
          <w:szCs w:val="24"/>
        </w:rPr>
        <w:t xml:space="preserve"> China</w:t>
      </w:r>
    </w:p>
    <w:p w14:paraId="7C262363">
      <w:pPr>
        <w:pStyle w:val="21"/>
        <w:framePr w:wrap="around"/>
        <w:jc w:val="both"/>
        <w:rPr>
          <w:rFonts w:hint="default"/>
        </w:rPr>
      </w:pPr>
    </w:p>
    <w:p w14:paraId="2552E1EA">
      <w:pPr>
        <w:pStyle w:val="21"/>
        <w:framePr w:wrap="around"/>
        <w:rPr>
          <w:rFonts w:hint="eastAsia" w:eastAsia="黑体"/>
          <w:sz w:val="36"/>
          <w:szCs w:val="22"/>
          <w:lang w:val="en-US" w:eastAsia="zh-CN"/>
        </w:rPr>
      </w:pPr>
      <w:r>
        <w:rPr>
          <w:rFonts w:hint="eastAsia"/>
          <w:sz w:val="36"/>
          <w:szCs w:val="22"/>
          <w:lang w:val="en-US" w:eastAsia="zh-CN"/>
        </w:rPr>
        <w:t>（征求意见稿）</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4703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3A2CAFDA">
            <w:pPr>
              <w:pStyle w:val="18"/>
              <w:framePr w:wrap="around"/>
              <w:rPr>
                <w:rFonts w:hint="default"/>
              </w:rPr>
            </w:pPr>
            <w:r>
              <w:t xml:space="preserve">2026 </w:t>
            </w:r>
            <w:r>
              <w:rPr>
                <w:rFonts w:ascii="宋体" w:hAnsi="宋体" w:eastAsia="宋体" w:cs="宋体"/>
              </w:rPr>
              <w:t>–</w:t>
            </w:r>
            <w:r>
              <w:t xml:space="preserve">  </w:t>
            </w:r>
            <w:r>
              <w:rPr>
                <w:rFonts w:ascii="宋体" w:hAnsi="宋体" w:eastAsia="宋体" w:cs="宋体"/>
              </w:rPr>
              <w:t>–</w:t>
            </w:r>
            <w:r>
              <w:t xml:space="preserve"> 发布</w:t>
            </w:r>
          </w:p>
        </w:tc>
        <w:tc>
          <w:tcPr>
            <w:tcW w:w="5508" w:type="dxa"/>
            <w:tcBorders>
              <w:bottom w:val="single" w:color="auto" w:sz="8" w:space="0"/>
            </w:tcBorders>
            <w:tcMar>
              <w:right w:w="57" w:type="dxa"/>
            </w:tcMar>
          </w:tcPr>
          <w:p w14:paraId="5B3AECE0">
            <w:pPr>
              <w:pStyle w:val="18"/>
              <w:framePr w:wrap="around"/>
              <w:ind w:right="1120"/>
              <w:jc w:val="right"/>
              <w:rPr>
                <w:rFonts w:hint="default"/>
              </w:rPr>
            </w:pPr>
            <w:r>
              <w:t xml:space="preserve">    2026 </w:t>
            </w:r>
            <w:r>
              <w:rPr>
                <w:rFonts w:ascii="宋体" w:hAnsi="宋体" w:eastAsia="宋体" w:cs="宋体"/>
              </w:rPr>
              <w:t>–</w:t>
            </w:r>
            <w:r>
              <w:t xml:space="preserve">  - </w:t>
            </w:r>
            <w:r>
              <w:rPr>
                <w:highlight w:val="none"/>
              </w:rPr>
              <w:t xml:space="preserve"> </w:t>
            </w:r>
            <w:r>
              <w:t>实施</w:t>
            </w:r>
          </w:p>
        </w:tc>
      </w:tr>
    </w:tbl>
    <w:p w14:paraId="088F6A44">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0D37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BE3B4C1">
            <w:pPr>
              <w:pStyle w:val="22"/>
              <w:framePr w:wrap="around"/>
              <w:rPr>
                <w:rFonts w:hint="default"/>
              </w:rPr>
            </w:pPr>
            <w:r>
              <w:t>ICS</w:t>
            </w:r>
          </w:p>
        </w:tc>
        <w:tc>
          <w:tcPr>
            <w:tcW w:w="9107" w:type="dxa"/>
            <w:gridSpan w:val="2"/>
          </w:tcPr>
          <w:p w14:paraId="02B2D32E">
            <w:pPr>
              <w:pStyle w:val="22"/>
              <w:framePr w:wrap="around"/>
              <w:rPr>
                <w:rFonts w:hint="default"/>
              </w:rPr>
            </w:pPr>
          </w:p>
        </w:tc>
      </w:tr>
      <w:tr w14:paraId="1030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45DCFDD">
            <w:pPr>
              <w:pStyle w:val="22"/>
              <w:framePr w:wrap="around"/>
              <w:rPr>
                <w:rFonts w:hint="default"/>
              </w:rPr>
            </w:pPr>
            <w:r>
              <w:t>CCS</w:t>
            </w:r>
          </w:p>
        </w:tc>
        <w:tc>
          <w:tcPr>
            <w:tcW w:w="9107" w:type="dxa"/>
            <w:gridSpan w:val="2"/>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05E5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7DB5B860">
                  <w:pPr>
                    <w:pStyle w:val="22"/>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271F1851">
            <w:pPr>
              <w:pStyle w:val="22"/>
              <w:framePr w:wrap="around"/>
              <w:rPr>
                <w:rFonts w:hint="default"/>
              </w:rPr>
            </w:pPr>
          </w:p>
        </w:tc>
      </w:tr>
      <w:tr w14:paraId="3071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4054566D">
            <w:pPr>
              <w:pStyle w:val="25"/>
              <w:framePr w:wrap="around"/>
              <w:rPr>
                <w:szCs w:val="21"/>
              </w:rPr>
            </w:pPr>
            <w:r>
              <w:rPr>
                <w:rFonts w:hint="eastAsia"/>
              </w:rPr>
              <w:t>中国绿色食品协会团体标准</w:t>
            </w:r>
          </w:p>
        </w:tc>
      </w:tr>
    </w:tbl>
    <w:p w14:paraId="22CB5566"/>
    <w:p w14:paraId="039E76B1">
      <w:pPr>
        <w:widowControl/>
        <w:jc w:val="left"/>
      </w:pPr>
      <w:r>
        <w:br w:type="page"/>
      </w:r>
    </w:p>
    <w:p w14:paraId="04577AC1">
      <w:pPr>
        <w:sectPr>
          <w:pgSz w:w="11906" w:h="16838"/>
          <w:pgMar w:top="1440" w:right="1800" w:bottom="1440" w:left="1800" w:header="851" w:footer="992" w:gutter="0"/>
          <w:cols w:space="425" w:num="1"/>
          <w:docGrid w:type="lines" w:linePitch="312" w:charSpace="0"/>
        </w:sectPr>
      </w:pPr>
    </w:p>
    <w:p w14:paraId="17935E57">
      <w:pPr>
        <w:jc w:val="center"/>
        <w:rPr>
          <w:rFonts w:ascii="黑体" w:hAnsi="黑体" w:eastAsia="黑体"/>
          <w:bCs/>
          <w:sz w:val="32"/>
          <w:szCs w:val="32"/>
        </w:rPr>
      </w:pPr>
      <w:r>
        <w:rPr>
          <w:rFonts w:hint="eastAsia" w:ascii="黑体" w:hAnsi="黑体" w:eastAsia="黑体"/>
          <w:bCs/>
          <w:sz w:val="32"/>
          <w:szCs w:val="32"/>
        </w:rPr>
        <w:t>前   言</w:t>
      </w:r>
    </w:p>
    <w:p w14:paraId="71F67CD5">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2620CEB9">
      <w:pPr>
        <w:ind w:firstLine="420" w:firstLineChars="200"/>
        <w:rPr>
          <w:rFonts w:ascii="宋体" w:hAnsi="宋体" w:eastAsia="宋体"/>
        </w:rPr>
      </w:pPr>
      <w:r>
        <w:rPr>
          <w:rFonts w:hint="eastAsia" w:ascii="宋体" w:hAnsi="宋体" w:eastAsia="宋体"/>
        </w:rPr>
        <w:t>本文件由中国绿色食品发展中心提出。</w:t>
      </w:r>
    </w:p>
    <w:p w14:paraId="4E9881A5">
      <w:pPr>
        <w:ind w:firstLine="420" w:firstLineChars="200"/>
        <w:rPr>
          <w:rFonts w:ascii="宋体" w:hAnsi="宋体" w:eastAsia="宋体"/>
        </w:rPr>
      </w:pPr>
      <w:r>
        <w:rPr>
          <w:rFonts w:hint="eastAsia" w:ascii="宋体" w:hAnsi="宋体" w:eastAsia="宋体"/>
        </w:rPr>
        <w:t>本文件由中国绿色食品协会归口。</w:t>
      </w:r>
    </w:p>
    <w:p w14:paraId="1D200573">
      <w:pPr>
        <w:ind w:firstLine="420" w:firstLineChars="200"/>
        <w:rPr>
          <w:rFonts w:hint="eastAsia" w:ascii="宋体" w:hAnsi="宋体" w:eastAsia="宋体"/>
          <w:lang w:eastAsia="zh-CN"/>
        </w:rPr>
      </w:pPr>
      <w:r>
        <w:rPr>
          <w:rFonts w:hint="eastAsia" w:ascii="宋体" w:hAnsi="宋体" w:eastAsia="宋体"/>
        </w:rPr>
        <w:t>本文件起草单位：</w:t>
      </w:r>
      <w:r>
        <w:rPr>
          <w:rFonts w:hint="eastAsia" w:ascii="宋体" w:hAnsi="宋体" w:eastAsia="宋体"/>
          <w:lang w:val="en-US" w:eastAsia="zh-CN"/>
        </w:rPr>
        <w:t>*</w:t>
      </w:r>
    </w:p>
    <w:p w14:paraId="53A20143">
      <w:pPr>
        <w:ind w:firstLine="420" w:firstLineChars="200"/>
        <w:rPr>
          <w:rFonts w:hint="eastAsia" w:ascii="宋体" w:hAnsi="宋体" w:eastAsia="宋体"/>
          <w:lang w:eastAsia="zh-CN"/>
        </w:rPr>
      </w:pPr>
      <w:r>
        <w:rPr>
          <w:rFonts w:hint="eastAsia" w:ascii="宋体" w:hAnsi="宋体" w:eastAsia="宋体"/>
        </w:rPr>
        <w:t>本文件主要起草人：</w:t>
      </w:r>
      <w:r>
        <w:rPr>
          <w:rFonts w:hint="eastAsia" w:ascii="宋体" w:hAnsi="宋体" w:eastAsia="宋体"/>
          <w:lang w:val="en-US" w:eastAsia="zh-CN"/>
        </w:rPr>
        <w:t>*</w:t>
      </w:r>
    </w:p>
    <w:p w14:paraId="0264A4AD">
      <w:pPr>
        <w:ind w:firstLine="420" w:firstLineChars="200"/>
        <w:rPr>
          <w:rFonts w:ascii="宋体" w:hAnsi="宋体" w:eastAsia="宋体"/>
        </w:rPr>
      </w:pPr>
      <w:r>
        <w:rPr>
          <w:rFonts w:hint="eastAsia" w:ascii="宋体" w:hAnsi="宋体" w:eastAsia="宋体"/>
        </w:rPr>
        <w:t>本文件批准发布后，因个别内容需要进行修改，或者对原文件内容进行增减时，可采用修改单方式修改本文件。</w:t>
      </w:r>
    </w:p>
    <w:p w14:paraId="185826F7">
      <w:pPr>
        <w:ind w:firstLine="420" w:firstLineChars="200"/>
        <w:rPr>
          <w:rFonts w:ascii="宋体" w:hAnsi="宋体" w:eastAsia="宋体"/>
        </w:rPr>
      </w:pPr>
      <w:r>
        <w:rPr>
          <w:rFonts w:hint="eastAsia" w:ascii="宋体" w:hAnsi="宋体" w:eastAsia="宋体"/>
        </w:rPr>
        <w:t>本文件为首次发布。</w:t>
      </w:r>
    </w:p>
    <w:p w14:paraId="61833288">
      <w:pPr>
        <w:ind w:firstLine="420" w:firstLineChars="200"/>
        <w:rPr>
          <w:rFonts w:ascii="宋体" w:hAnsi="宋体" w:eastAsia="宋体"/>
        </w:rPr>
      </w:pPr>
    </w:p>
    <w:p w14:paraId="3B1DA71F">
      <w:pPr>
        <w:ind w:firstLine="420" w:firstLineChars="200"/>
        <w:rPr>
          <w:rFonts w:ascii="宋体" w:hAnsi="宋体" w:eastAsia="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CDBEB39">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 南方丘陵地区鲜食玉米生产操作规程</w:t>
      </w:r>
    </w:p>
    <w:p w14:paraId="4F4135CD">
      <w:pPr>
        <w:pStyle w:val="23"/>
        <w:numPr>
          <w:ilvl w:val="0"/>
          <w:numId w:val="0"/>
        </w:numPr>
        <w:spacing w:before="312" w:after="312"/>
        <w:ind w:left="265" w:leftChars="-74" w:hanging="420"/>
      </w:pPr>
      <w:r>
        <w:rPr>
          <w:rFonts w:hint="eastAsia"/>
        </w:rPr>
        <w:t>1  范围</w:t>
      </w:r>
    </w:p>
    <w:p w14:paraId="350B5449">
      <w:pPr>
        <w:pStyle w:val="29"/>
        <w:tabs>
          <w:tab w:val="center" w:pos="4201"/>
          <w:tab w:val="right" w:leader="dot" w:pos="9298"/>
        </w:tabs>
        <w:ind w:firstLine="420"/>
        <w:rPr>
          <w:rFonts w:ascii="Times New Roman"/>
          <w:kern w:val="2"/>
          <w:szCs w:val="21"/>
        </w:rPr>
      </w:pPr>
      <w:r>
        <w:rPr>
          <w:rFonts w:hint="eastAsia" w:ascii="Times New Roman"/>
          <w:kern w:val="2"/>
          <w:szCs w:val="21"/>
        </w:rPr>
        <w:t>本文件规定了绿色食品南方丘陵地区鲜食玉米生产的产地环境、品种选择、整地与播种、田间管理、采收、玉米保鲜加工、生产废弃物的处理、贮藏及建立生产档案。</w:t>
      </w:r>
    </w:p>
    <w:p w14:paraId="090D0636">
      <w:pPr>
        <w:pStyle w:val="29"/>
        <w:tabs>
          <w:tab w:val="center" w:pos="4201"/>
          <w:tab w:val="right" w:leader="dot" w:pos="9298"/>
        </w:tabs>
        <w:ind w:firstLine="420"/>
        <w:rPr>
          <w:rFonts w:ascii="Times New Roman"/>
          <w:kern w:val="2"/>
          <w:szCs w:val="21"/>
        </w:rPr>
      </w:pPr>
      <w:r>
        <w:rPr>
          <w:rFonts w:hint="eastAsia" w:ascii="Times New Roman"/>
          <w:kern w:val="2"/>
          <w:szCs w:val="21"/>
        </w:rPr>
        <w:t>本文件适用于安徽南部、福建、江西和湖南的绿色食品鲜食玉米生产。</w:t>
      </w:r>
    </w:p>
    <w:p w14:paraId="6C57EFB6">
      <w:pPr>
        <w:pStyle w:val="2"/>
        <w:spacing w:before="312" w:beforeLines="100" w:after="312" w:afterLine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  规范性引用文件</w:t>
      </w:r>
    </w:p>
    <w:p w14:paraId="3E014121">
      <w:pPr>
        <w:pStyle w:val="29"/>
        <w:tabs>
          <w:tab w:val="center" w:pos="4201"/>
          <w:tab w:val="right" w:leader="dot" w:pos="9298"/>
        </w:tabs>
        <w:ind w:firstLine="420"/>
      </w:pPr>
      <w:sdt>
        <w:sdtPr>
          <w:tag w:val="StandNameFile"/>
          <w:id w:val="147452692"/>
          <w:placeholder>
            <w:docPart w:val="{65414cb8-866f-4122-8099-1636c23d732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50CFED10">
      <w:pPr>
        <w:pStyle w:val="29"/>
        <w:tabs>
          <w:tab w:val="center" w:pos="4201"/>
          <w:tab w:val="right" w:leader="dot" w:pos="9298"/>
        </w:tabs>
        <w:ind w:firstLine="420"/>
        <w:rPr>
          <w:rFonts w:ascii="Times New Roman"/>
          <w:kern w:val="2"/>
          <w:szCs w:val="21"/>
        </w:rPr>
      </w:pPr>
      <w:r>
        <w:rPr>
          <w:rFonts w:hint="eastAsia" w:ascii="Times New Roman"/>
          <w:kern w:val="2"/>
          <w:szCs w:val="21"/>
        </w:rPr>
        <w:t>GB 4404.1  粮食作物种子 第1部分：禾谷类</w:t>
      </w:r>
    </w:p>
    <w:p w14:paraId="6D500D08">
      <w:pPr>
        <w:pStyle w:val="29"/>
        <w:tabs>
          <w:tab w:val="center" w:pos="4201"/>
          <w:tab w:val="right" w:leader="dot" w:pos="9298"/>
        </w:tabs>
        <w:ind w:firstLine="420"/>
        <w:rPr>
          <w:rFonts w:ascii="Times New Roman"/>
          <w:kern w:val="2"/>
          <w:szCs w:val="21"/>
        </w:rPr>
      </w:pPr>
      <w:r>
        <w:rPr>
          <w:rFonts w:hint="eastAsia" w:ascii="Times New Roman"/>
          <w:kern w:val="2"/>
          <w:szCs w:val="21"/>
        </w:rPr>
        <w:t>GB 2763  食品安全国家标准 食品中农药最大残留限量</w:t>
      </w:r>
    </w:p>
    <w:p w14:paraId="4871AE74">
      <w:pPr>
        <w:pStyle w:val="29"/>
        <w:tabs>
          <w:tab w:val="center" w:pos="4201"/>
          <w:tab w:val="right" w:leader="dot" w:pos="9298"/>
        </w:tabs>
        <w:ind w:firstLine="420"/>
        <w:rPr>
          <w:rFonts w:ascii="Times New Roman"/>
          <w:kern w:val="2"/>
          <w:szCs w:val="21"/>
        </w:rPr>
      </w:pPr>
      <w:r>
        <w:rPr>
          <w:rFonts w:hint="eastAsia" w:ascii="Times New Roman"/>
          <w:kern w:val="2"/>
          <w:szCs w:val="21"/>
        </w:rPr>
        <w:t>NY/T 391  绿色食品  产地环境质量</w:t>
      </w:r>
    </w:p>
    <w:p w14:paraId="078E993B">
      <w:pPr>
        <w:pStyle w:val="29"/>
        <w:tabs>
          <w:tab w:val="center" w:pos="4201"/>
          <w:tab w:val="right" w:leader="dot" w:pos="9298"/>
        </w:tabs>
        <w:ind w:firstLine="420"/>
        <w:rPr>
          <w:rFonts w:ascii="Times New Roman"/>
          <w:kern w:val="2"/>
          <w:szCs w:val="21"/>
        </w:rPr>
      </w:pPr>
      <w:r>
        <w:rPr>
          <w:rFonts w:hint="eastAsia" w:ascii="Times New Roman"/>
          <w:kern w:val="2"/>
          <w:szCs w:val="21"/>
        </w:rPr>
        <w:t>NY/T 393  绿色食品  农药使用准则</w:t>
      </w:r>
    </w:p>
    <w:p w14:paraId="4E459F2C">
      <w:pPr>
        <w:pStyle w:val="29"/>
        <w:tabs>
          <w:tab w:val="center" w:pos="4201"/>
          <w:tab w:val="right" w:leader="dot" w:pos="9298"/>
        </w:tabs>
        <w:ind w:firstLine="420"/>
        <w:rPr>
          <w:rFonts w:ascii="Times New Roman"/>
          <w:kern w:val="2"/>
          <w:szCs w:val="21"/>
        </w:rPr>
      </w:pPr>
      <w:r>
        <w:rPr>
          <w:rFonts w:hint="eastAsia" w:ascii="Times New Roman"/>
          <w:kern w:val="2"/>
          <w:szCs w:val="21"/>
        </w:rPr>
        <w:t>NY/T 394  绿色食品  肥料使用准则</w:t>
      </w:r>
    </w:p>
    <w:p w14:paraId="4954217D">
      <w:pPr>
        <w:pStyle w:val="29"/>
        <w:tabs>
          <w:tab w:val="center" w:pos="4201"/>
          <w:tab w:val="right" w:leader="dot" w:pos="9298"/>
        </w:tabs>
        <w:ind w:firstLine="420"/>
        <w:rPr>
          <w:rFonts w:ascii="Times New Roman"/>
          <w:kern w:val="2"/>
          <w:szCs w:val="21"/>
        </w:rPr>
      </w:pPr>
      <w:r>
        <w:rPr>
          <w:rFonts w:hint="eastAsia" w:ascii="Times New Roman"/>
          <w:kern w:val="2"/>
          <w:szCs w:val="21"/>
        </w:rPr>
        <w:t>NY/T 418  绿色食品  玉米及玉米粉</w:t>
      </w:r>
    </w:p>
    <w:p w14:paraId="1EE810FA">
      <w:pPr>
        <w:pStyle w:val="29"/>
        <w:tabs>
          <w:tab w:val="center" w:pos="4201"/>
          <w:tab w:val="right" w:leader="dot" w:pos="9298"/>
        </w:tabs>
        <w:ind w:firstLine="420"/>
        <w:rPr>
          <w:rFonts w:ascii="Times New Roman"/>
          <w:kern w:val="2"/>
          <w:szCs w:val="21"/>
        </w:rPr>
      </w:pPr>
      <w:r>
        <w:rPr>
          <w:rFonts w:hint="eastAsia" w:ascii="Times New Roman"/>
          <w:kern w:val="2"/>
          <w:szCs w:val="21"/>
        </w:rPr>
        <w:t>NY/T 658  绿色食品  包装通用准则</w:t>
      </w:r>
    </w:p>
    <w:p w14:paraId="7046CEA4">
      <w:pPr>
        <w:pStyle w:val="29"/>
        <w:tabs>
          <w:tab w:val="center" w:pos="4201"/>
          <w:tab w:val="right" w:leader="dot" w:pos="9298"/>
        </w:tabs>
        <w:ind w:firstLine="420"/>
        <w:rPr>
          <w:rFonts w:ascii="Times New Roman"/>
          <w:kern w:val="2"/>
          <w:szCs w:val="21"/>
        </w:rPr>
      </w:pPr>
      <w:r>
        <w:rPr>
          <w:rFonts w:hint="eastAsia" w:ascii="Times New Roman"/>
          <w:kern w:val="2"/>
          <w:szCs w:val="21"/>
        </w:rPr>
        <w:t>NY/T 1056 绿色食品 储藏运输准则</w:t>
      </w:r>
    </w:p>
    <w:p w14:paraId="1B008F5A">
      <w:pPr>
        <w:pStyle w:val="23"/>
        <w:numPr>
          <w:ilvl w:val="0"/>
          <w:numId w:val="0"/>
        </w:numPr>
        <w:spacing w:before="312" w:after="312"/>
        <w:ind w:left="420" w:hanging="420"/>
      </w:pPr>
      <w:r>
        <w:rPr>
          <w:rFonts w:hint="eastAsia"/>
        </w:rPr>
        <w:t>3  术语和定义</w:t>
      </w:r>
    </w:p>
    <w:p w14:paraId="28CC1C58">
      <w:pPr>
        <w:rPr>
          <w:rFonts w:ascii="宋体" w:hAnsi="宋体" w:eastAsia="宋体" w:cs="仿宋"/>
          <w:bCs/>
          <w:szCs w:val="21"/>
        </w:rPr>
      </w:pPr>
      <w:r>
        <w:rPr>
          <w:rFonts w:hint="eastAsia" w:ascii="宋体" w:hAnsi="宋体" w:eastAsia="宋体" w:cs="仿宋"/>
          <w:bCs/>
          <w:szCs w:val="21"/>
        </w:rPr>
        <w:t xml:space="preserve">    下列术语和定义适用于本文件。</w:t>
      </w:r>
    </w:p>
    <w:p w14:paraId="5BD17CFC">
      <w:pPr>
        <w:widowControl/>
        <w:rPr>
          <w:rFonts w:ascii="黑体" w:hAnsi="黑体" w:eastAsia="黑体" w:cs="仿宋"/>
          <w:bCs/>
          <w:szCs w:val="21"/>
        </w:rPr>
      </w:pPr>
      <w:r>
        <w:rPr>
          <w:rFonts w:ascii="黑体" w:hAnsi="黑体" w:eastAsia="黑体" w:cs="仿宋"/>
          <w:bCs/>
          <w:szCs w:val="21"/>
        </w:rPr>
        <w:t xml:space="preserve">3.1 </w:t>
      </w:r>
    </w:p>
    <w:p w14:paraId="376B4BF1">
      <w:pPr>
        <w:widowControl/>
        <w:ind w:firstLine="420" w:firstLineChars="200"/>
        <w:rPr>
          <w:rFonts w:ascii="黑体" w:hAnsi="黑体" w:eastAsia="黑体" w:cs="仿宋"/>
          <w:bCs/>
          <w:szCs w:val="21"/>
        </w:rPr>
      </w:pPr>
      <w:r>
        <w:rPr>
          <w:rFonts w:hint="eastAsia" w:ascii="黑体" w:hAnsi="黑体" w:eastAsia="黑体" w:cs="仿宋"/>
          <w:bCs/>
          <w:szCs w:val="21"/>
        </w:rPr>
        <w:t xml:space="preserve">绿色食品  </w:t>
      </w:r>
      <w:r>
        <w:rPr>
          <w:rFonts w:hint="eastAsia" w:ascii="Times New Roman" w:hAnsi="Times New Roman" w:eastAsia="宋体" w:cs="Times New Roman"/>
          <w:szCs w:val="21"/>
        </w:rPr>
        <w:t>G</w:t>
      </w:r>
      <w:r>
        <w:rPr>
          <w:rFonts w:ascii="Times New Roman" w:hAnsi="Times New Roman" w:eastAsia="宋体" w:cs="Times New Roman"/>
          <w:szCs w:val="21"/>
        </w:rPr>
        <w:t xml:space="preserve">reen </w:t>
      </w:r>
      <w:r>
        <w:rPr>
          <w:rFonts w:hint="eastAsia" w:ascii="Times New Roman" w:hAnsi="Times New Roman" w:eastAsia="宋体" w:cs="Times New Roman"/>
          <w:szCs w:val="21"/>
        </w:rPr>
        <w:t>f</w:t>
      </w:r>
      <w:r>
        <w:rPr>
          <w:rFonts w:ascii="Times New Roman" w:hAnsi="Times New Roman" w:eastAsia="宋体" w:cs="Times New Roman"/>
          <w:szCs w:val="21"/>
        </w:rPr>
        <w:t xml:space="preserve">ood </w:t>
      </w:r>
    </w:p>
    <w:p w14:paraId="2A464253">
      <w:pPr>
        <w:widowControl/>
        <w:rPr>
          <w:rFonts w:ascii="宋体" w:hAnsi="宋体" w:eastAsia="宋体" w:cs="仿宋"/>
          <w:bCs/>
          <w:szCs w:val="21"/>
        </w:rPr>
      </w:pPr>
      <w:r>
        <w:rPr>
          <w:rFonts w:hint="eastAsia" w:ascii="宋体" w:hAnsi="宋体" w:eastAsia="宋体" w:cs="仿宋"/>
          <w:bCs/>
          <w:szCs w:val="21"/>
        </w:rPr>
        <w:t xml:space="preserve">    产自优良生态环境、按照绿色食品标准生产、实行全程质量控制并获得绿色食品标志使用权的安全、优质食用农产品及相关产品。</w:t>
      </w:r>
    </w:p>
    <w:p w14:paraId="350E7DEB">
      <w:pPr>
        <w:pStyle w:val="30"/>
        <w:spacing w:before="312" w:beforeLines="100" w:after="312" w:afterLines="100"/>
        <w:ind w:firstLine="0"/>
        <w:contextualSpacing/>
        <w:rPr>
          <w:rFonts w:ascii="黑体" w:hAnsi="黑体" w:eastAsia="黑体" w:cs="仿宋"/>
          <w:bCs/>
        </w:rPr>
      </w:pPr>
      <w:r>
        <w:rPr>
          <w:rFonts w:hint="eastAsia" w:ascii="黑体" w:hAnsi="黑体" w:eastAsia="黑体" w:cs="仿宋"/>
          <w:bCs/>
        </w:rPr>
        <w:t xml:space="preserve">4  </w:t>
      </w:r>
      <w:r>
        <w:rPr>
          <w:rFonts w:ascii="黑体" w:hAnsi="黑体" w:eastAsia="黑体" w:cs="仿宋"/>
          <w:bCs/>
        </w:rPr>
        <w:t>产地环境</w:t>
      </w:r>
    </w:p>
    <w:p w14:paraId="3C32725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产地环境质量应符合</w:t>
      </w:r>
      <w:r>
        <w:rPr>
          <w:rFonts w:ascii="Times New Roman" w:hAnsi="Times New Roman" w:eastAsia="宋体" w:cs="Times New Roman"/>
          <w:szCs w:val="21"/>
        </w:rPr>
        <w:t>NY/T 391</w:t>
      </w:r>
      <w:r>
        <w:rPr>
          <w:rFonts w:hint="eastAsia" w:ascii="Times New Roman" w:hAnsi="Times New Roman" w:eastAsia="宋体" w:cs="Times New Roman"/>
          <w:szCs w:val="21"/>
        </w:rPr>
        <w:t>要求，应在空气清晰、水质纯净、土壤未受污染、农业生态质量良好的地方选择耕层深厚、土壤肥力较高、保水、保肥及排水良好的地块。</w:t>
      </w:r>
    </w:p>
    <w:p w14:paraId="4B7BCDBF">
      <w:pPr>
        <w:pStyle w:val="29"/>
        <w:tabs>
          <w:tab w:val="center" w:pos="4201"/>
          <w:tab w:val="right" w:leader="dot" w:pos="9298"/>
        </w:tabs>
        <w:ind w:firstLine="420"/>
        <w:rPr>
          <w:rFonts w:ascii="Times New Roman"/>
          <w:kern w:val="2"/>
          <w:szCs w:val="21"/>
        </w:rPr>
      </w:pPr>
    </w:p>
    <w:p w14:paraId="4F0F851A">
      <w:pPr>
        <w:pStyle w:val="30"/>
        <w:ind w:firstLine="0"/>
        <w:contextualSpacing/>
        <w:rPr>
          <w:rFonts w:ascii="黑体" w:hAnsi="黑体" w:eastAsia="黑体" w:cs="仿宋"/>
          <w:bCs/>
        </w:rPr>
      </w:pPr>
      <w:r>
        <w:rPr>
          <w:rFonts w:hint="eastAsia" w:ascii="黑体" w:hAnsi="黑体" w:eastAsia="黑体" w:cs="仿宋"/>
          <w:bCs/>
        </w:rPr>
        <w:t xml:space="preserve">5  </w:t>
      </w:r>
      <w:r>
        <w:rPr>
          <w:rFonts w:ascii="黑体" w:hAnsi="黑体" w:eastAsia="黑体" w:cs="仿宋"/>
          <w:bCs/>
        </w:rPr>
        <w:t>品种选择</w:t>
      </w:r>
    </w:p>
    <w:p w14:paraId="1F8926D8">
      <w:pPr>
        <w:pStyle w:val="30"/>
        <w:ind w:firstLine="0"/>
        <w:contextualSpacing/>
        <w:rPr>
          <w:rFonts w:ascii="黑体" w:hAnsi="黑体" w:eastAsia="黑体" w:cs="仿宋"/>
          <w:bCs/>
        </w:rPr>
      </w:pPr>
    </w:p>
    <w:p w14:paraId="4A4BB4B5">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选择原则</w:t>
      </w:r>
    </w:p>
    <w:p w14:paraId="6244DB6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当地生态条件，选用审定推广的高产、优质、适应性强、生育期适宜的鲜食玉米优良品种，主要选用甜玉米和糯玉米。要求品种籽粒皮薄、柔嫩、质脆、风味好、无渣或少渣；果穗大小适宜、籽粒排列整齐一致、饱满，果穗无秃尖、无露尖。</w:t>
      </w:r>
    </w:p>
    <w:p w14:paraId="4DE02B58">
      <w:pPr>
        <w:pStyle w:val="29"/>
        <w:tabs>
          <w:tab w:val="center" w:pos="4201"/>
          <w:tab w:val="right" w:leader="dot" w:pos="9298"/>
        </w:tabs>
        <w:ind w:firstLine="420"/>
        <w:rPr>
          <w:rFonts w:ascii="Times New Roman"/>
          <w:kern w:val="2"/>
          <w:szCs w:val="21"/>
        </w:rPr>
      </w:pPr>
    </w:p>
    <w:p w14:paraId="0B072EA3">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.2</w:t>
      </w:r>
      <w:r>
        <w:rPr>
          <w:rFonts w:hint="eastAsia" w:ascii="黑体" w:hAnsi="黑体" w:eastAsia="黑体" w:cs="仿宋"/>
          <w:bCs/>
        </w:rPr>
        <w:t xml:space="preserve">  种子质量</w:t>
      </w:r>
    </w:p>
    <w:p w14:paraId="2570CAA7">
      <w:pPr>
        <w:pStyle w:val="29"/>
        <w:tabs>
          <w:tab w:val="center" w:pos="4201"/>
          <w:tab w:val="right" w:leader="dot" w:pos="9298"/>
        </w:tabs>
        <w:ind w:firstLine="420"/>
        <w:rPr>
          <w:rFonts w:ascii="Times New Roman"/>
          <w:kern w:val="2"/>
          <w:szCs w:val="21"/>
        </w:rPr>
      </w:pPr>
      <w:r>
        <w:rPr>
          <w:rFonts w:hint="eastAsia" w:hAnsi="宋体" w:cs="宋体"/>
        </w:rPr>
        <w:t>种子纯度不低</w:t>
      </w:r>
      <w:r>
        <w:rPr>
          <w:rFonts w:hAnsi="宋体" w:cs="宋体"/>
        </w:rPr>
        <w:t>96%</w:t>
      </w:r>
      <w:r>
        <w:rPr>
          <w:rFonts w:hint="eastAsia" w:hAnsi="宋体" w:cs="宋体"/>
        </w:rPr>
        <w:t>，净度不低于</w:t>
      </w:r>
      <w:r>
        <w:rPr>
          <w:rFonts w:hAnsi="宋体" w:cs="宋体"/>
        </w:rPr>
        <w:t>99%</w:t>
      </w:r>
      <w:r>
        <w:rPr>
          <w:rFonts w:hint="eastAsia" w:hAnsi="宋体" w:cs="宋体"/>
        </w:rPr>
        <w:t>，发芽率不低于</w:t>
      </w:r>
      <w:r>
        <w:rPr>
          <w:rFonts w:hAnsi="宋体" w:cs="宋体"/>
        </w:rPr>
        <w:t>85%</w:t>
      </w:r>
      <w:r>
        <w:rPr>
          <w:rFonts w:hint="eastAsia" w:hAnsi="宋体" w:cs="宋体"/>
        </w:rPr>
        <w:t>，含水量不高于</w:t>
      </w:r>
      <w:r>
        <w:rPr>
          <w:rFonts w:hAnsi="宋体" w:cs="宋体"/>
        </w:rPr>
        <w:t>13%</w:t>
      </w:r>
      <w:r>
        <w:rPr>
          <w:rFonts w:hint="eastAsia" w:hAnsi="宋体" w:cs="宋体"/>
        </w:rPr>
        <w:t>。</w:t>
      </w:r>
    </w:p>
    <w:p w14:paraId="0A9EBEE4">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种子处理</w:t>
      </w:r>
    </w:p>
    <w:p w14:paraId="64B43BC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包衣和拌种的农药应符合NY/T 393的规定，建议用5.4%吡﹒戊（吡虫啉含量5%、戊唑醇含量0.4%）玉米种衣剂包衣，或用戊唑醇拌种，也可用粉锈宁包衣或拌种。</w:t>
      </w:r>
    </w:p>
    <w:p w14:paraId="067BF0D9">
      <w:pPr>
        <w:pStyle w:val="29"/>
        <w:tabs>
          <w:tab w:val="center" w:pos="4201"/>
          <w:tab w:val="right" w:leader="dot" w:pos="9298"/>
        </w:tabs>
        <w:ind w:firstLine="420"/>
        <w:rPr>
          <w:rFonts w:ascii="Times New Roman"/>
          <w:kern w:val="2"/>
          <w:szCs w:val="21"/>
        </w:rPr>
      </w:pPr>
    </w:p>
    <w:p w14:paraId="497B8570">
      <w:pPr>
        <w:pStyle w:val="30"/>
        <w:ind w:firstLine="0"/>
        <w:contextualSpacing/>
        <w:rPr>
          <w:rFonts w:ascii="黑体" w:hAnsi="黑体" w:eastAsia="黑体" w:cs="仿宋"/>
          <w:bCs/>
        </w:rPr>
      </w:pPr>
      <w:r>
        <w:rPr>
          <w:rFonts w:hint="eastAsia" w:ascii="黑体" w:hAnsi="黑体" w:eastAsia="黑体" w:cs="仿宋"/>
          <w:bCs/>
        </w:rPr>
        <w:t xml:space="preserve">6  </w:t>
      </w:r>
      <w:r>
        <w:rPr>
          <w:rFonts w:ascii="黑体" w:hAnsi="黑体" w:eastAsia="黑体" w:cs="仿宋"/>
          <w:bCs/>
        </w:rPr>
        <w:t>整地</w:t>
      </w:r>
      <w:r>
        <w:rPr>
          <w:rFonts w:hint="eastAsia" w:ascii="黑体" w:hAnsi="黑体" w:eastAsia="黑体" w:cs="仿宋"/>
          <w:bCs/>
        </w:rPr>
        <w:t>与</w:t>
      </w:r>
      <w:r>
        <w:rPr>
          <w:rFonts w:ascii="黑体" w:hAnsi="黑体" w:eastAsia="黑体" w:cs="仿宋"/>
          <w:bCs/>
        </w:rPr>
        <w:t>播种</w:t>
      </w:r>
    </w:p>
    <w:p w14:paraId="2C4AB5D0">
      <w:pPr>
        <w:pStyle w:val="30"/>
        <w:ind w:firstLine="0"/>
        <w:contextualSpacing/>
        <w:rPr>
          <w:rFonts w:ascii="黑体" w:hAnsi="黑体" w:eastAsia="黑体" w:cs="仿宋"/>
          <w:bCs/>
        </w:rPr>
      </w:pPr>
    </w:p>
    <w:p w14:paraId="7C4FF0A1">
      <w:pPr>
        <w:pStyle w:val="30"/>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整地</w:t>
      </w:r>
    </w:p>
    <w:p w14:paraId="4DC3AD1D">
      <w:pPr>
        <w:pStyle w:val="29"/>
        <w:tabs>
          <w:tab w:val="center" w:pos="4201"/>
          <w:tab w:val="right" w:leader="dot" w:pos="9298"/>
        </w:tabs>
        <w:ind w:firstLine="420"/>
        <w:rPr>
          <w:rFonts w:ascii="Times New Roman"/>
          <w:kern w:val="2"/>
          <w:szCs w:val="21"/>
        </w:rPr>
      </w:pPr>
      <w:r>
        <w:rPr>
          <w:rFonts w:hint="eastAsia" w:ascii="Times New Roman"/>
          <w:kern w:val="2"/>
          <w:szCs w:val="21"/>
        </w:rPr>
        <w:t>整地质量力求做到细、碎、平，整地时每亩施用腐熟的畜禽粪有机肥</w:t>
      </w:r>
      <w:r>
        <w:rPr>
          <w:rFonts w:ascii="Times New Roman"/>
          <w:kern w:val="2"/>
          <w:szCs w:val="21"/>
        </w:rPr>
        <w:t>1000kg</w:t>
      </w:r>
      <w:r>
        <w:rPr>
          <w:rFonts w:hint="eastAsia" w:ascii="Times New Roman"/>
          <w:kern w:val="2"/>
          <w:szCs w:val="21"/>
        </w:rPr>
        <w:t>～</w:t>
      </w:r>
      <w:r>
        <w:rPr>
          <w:rFonts w:ascii="Times New Roman"/>
          <w:kern w:val="2"/>
          <w:szCs w:val="21"/>
        </w:rPr>
        <w:t>1500kg</w:t>
      </w:r>
      <w:r>
        <w:rPr>
          <w:rFonts w:hint="eastAsia" w:ascii="Times New Roman"/>
          <w:kern w:val="2"/>
          <w:szCs w:val="21"/>
        </w:rPr>
        <w:t>，播种前一次施入。</w:t>
      </w:r>
    </w:p>
    <w:p w14:paraId="274973D8">
      <w:pPr>
        <w:pStyle w:val="30"/>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播种</w:t>
      </w:r>
      <w:r>
        <w:rPr>
          <w:rFonts w:hint="eastAsia" w:ascii="黑体" w:hAnsi="黑体" w:eastAsia="黑体" w:cs="仿宋"/>
          <w:bCs/>
        </w:rPr>
        <w:t>期</w:t>
      </w:r>
    </w:p>
    <w:p w14:paraId="202CC911">
      <w:pPr>
        <w:pStyle w:val="29"/>
        <w:tabs>
          <w:tab w:val="center" w:pos="4201"/>
          <w:tab w:val="right" w:leader="dot" w:pos="9298"/>
        </w:tabs>
        <w:ind w:firstLine="420"/>
        <w:rPr>
          <w:rFonts w:ascii="Times New Roman"/>
          <w:kern w:val="2"/>
          <w:szCs w:val="21"/>
        </w:rPr>
      </w:pPr>
      <w:r>
        <w:rPr>
          <w:rFonts w:ascii="Times New Roman"/>
          <w:kern w:val="2"/>
          <w:szCs w:val="21"/>
        </w:rPr>
        <w:t xml:space="preserve"> </w:t>
      </w:r>
      <w:r>
        <w:rPr>
          <w:rFonts w:hint="eastAsia" w:ascii="Times New Roman"/>
          <w:kern w:val="2"/>
          <w:szCs w:val="21"/>
        </w:rPr>
        <w:t>一般最早的播期从气温稳定在</w:t>
      </w:r>
      <w:r>
        <w:rPr>
          <w:rFonts w:ascii="Times New Roman"/>
          <w:kern w:val="2"/>
          <w:szCs w:val="21"/>
        </w:rPr>
        <w:t>12</w:t>
      </w:r>
      <w:r>
        <w:rPr>
          <w:rFonts w:hint="eastAsia" w:ascii="Times New Roman"/>
          <w:kern w:val="2"/>
          <w:szCs w:val="21"/>
        </w:rPr>
        <w:t>℃即可播种；采用地膜覆盖可提早</w:t>
      </w:r>
      <w:r>
        <w:rPr>
          <w:rFonts w:ascii="Times New Roman"/>
          <w:kern w:val="2"/>
          <w:szCs w:val="21"/>
        </w:rPr>
        <w:t>7d</w:t>
      </w:r>
      <w:r>
        <w:rPr>
          <w:rFonts w:hint="eastAsia" w:ascii="Times New Roman"/>
          <w:kern w:val="2"/>
          <w:szCs w:val="21"/>
        </w:rPr>
        <w:t>～</w:t>
      </w:r>
      <w:r>
        <w:rPr>
          <w:rFonts w:ascii="Times New Roman"/>
          <w:kern w:val="2"/>
          <w:szCs w:val="21"/>
        </w:rPr>
        <w:t>10d</w:t>
      </w:r>
      <w:r>
        <w:rPr>
          <w:rFonts w:hint="eastAsia" w:ascii="Times New Roman"/>
          <w:kern w:val="2"/>
          <w:szCs w:val="21"/>
        </w:rPr>
        <w:t>播种；采取薄膜育苗可提早</w:t>
      </w:r>
      <w:r>
        <w:rPr>
          <w:rFonts w:ascii="Times New Roman"/>
          <w:kern w:val="2"/>
          <w:szCs w:val="21"/>
        </w:rPr>
        <w:t>10d</w:t>
      </w:r>
      <w:r>
        <w:rPr>
          <w:rFonts w:hint="eastAsia" w:ascii="Times New Roman"/>
          <w:kern w:val="2"/>
          <w:szCs w:val="21"/>
        </w:rPr>
        <w:t>～</w:t>
      </w:r>
      <w:r>
        <w:rPr>
          <w:rFonts w:ascii="Times New Roman"/>
          <w:kern w:val="2"/>
          <w:szCs w:val="21"/>
        </w:rPr>
        <w:t>15d</w:t>
      </w:r>
      <w:r>
        <w:rPr>
          <w:rFonts w:hint="eastAsia" w:ascii="Times New Roman"/>
          <w:kern w:val="2"/>
          <w:szCs w:val="21"/>
        </w:rPr>
        <w:t>播种。可考虑市场需求，实行分期播种。</w:t>
      </w:r>
    </w:p>
    <w:p w14:paraId="1129279E">
      <w:pPr>
        <w:pStyle w:val="30"/>
        <w:ind w:firstLine="0"/>
        <w:contextualSpacing/>
        <w:rPr>
          <w:rFonts w:ascii="黑体" w:hAnsi="黑体" w:eastAsia="黑体" w:cs="仿宋"/>
          <w:bCs/>
        </w:rPr>
      </w:pPr>
      <w:r>
        <w:rPr>
          <w:rFonts w:hint="eastAsia" w:ascii="黑体" w:hAnsi="黑体" w:eastAsia="黑体" w:cs="仿宋"/>
          <w:bCs/>
        </w:rPr>
        <w:t>6.3  播种量</w:t>
      </w:r>
    </w:p>
    <w:p w14:paraId="44F30665">
      <w:pPr>
        <w:pStyle w:val="29"/>
        <w:tabs>
          <w:tab w:val="center" w:pos="4201"/>
          <w:tab w:val="right" w:leader="dot" w:pos="9298"/>
        </w:tabs>
        <w:ind w:firstLine="420"/>
        <w:rPr>
          <w:rFonts w:ascii="Times New Roman"/>
          <w:kern w:val="2"/>
          <w:szCs w:val="21"/>
        </w:rPr>
      </w:pPr>
      <w:r>
        <w:rPr>
          <w:rFonts w:hint="eastAsia" w:ascii="Times New Roman"/>
          <w:kern w:val="2"/>
          <w:szCs w:val="21"/>
        </w:rPr>
        <w:t>人工播种，每穴2～3粒种子，并施种肥磷酸二铵2.5kg/亩。</w:t>
      </w:r>
    </w:p>
    <w:p w14:paraId="2899746E">
      <w:pPr>
        <w:pStyle w:val="30"/>
        <w:ind w:firstLine="0"/>
        <w:contextualSpacing/>
        <w:rPr>
          <w:rFonts w:ascii="黑体" w:hAnsi="黑体" w:eastAsia="黑体" w:cs="仿宋"/>
          <w:bCs/>
        </w:rPr>
      </w:pPr>
      <w:r>
        <w:rPr>
          <w:rFonts w:hint="eastAsia" w:ascii="黑体" w:hAnsi="黑体" w:eastAsia="黑体" w:cs="仿宋"/>
          <w:bCs/>
        </w:rPr>
        <w:t>6.4  播种深度及密度</w:t>
      </w:r>
    </w:p>
    <w:p w14:paraId="44AF693E">
      <w:pPr>
        <w:pStyle w:val="29"/>
        <w:tabs>
          <w:tab w:val="center" w:pos="4201"/>
          <w:tab w:val="right" w:leader="dot" w:pos="9298"/>
        </w:tabs>
        <w:ind w:firstLine="420"/>
        <w:rPr>
          <w:rFonts w:ascii="Times New Roman"/>
          <w:kern w:val="2"/>
          <w:szCs w:val="21"/>
        </w:rPr>
      </w:pPr>
      <w:r>
        <w:rPr>
          <w:rFonts w:hint="eastAsia" w:ascii="Times New Roman"/>
          <w:kern w:val="2"/>
          <w:szCs w:val="21"/>
        </w:rPr>
        <w:t>播种应做到深浅一致，一般3cm～5cm，覆土均匀。根据生产条件、土壤肥力、品种特性、管理水平等合理确定种植密度，一般每亩种植3000～3500株。</w:t>
      </w:r>
    </w:p>
    <w:p w14:paraId="13A2710D">
      <w:pPr>
        <w:pStyle w:val="29"/>
        <w:tabs>
          <w:tab w:val="center" w:pos="4201"/>
          <w:tab w:val="right" w:leader="dot" w:pos="9298"/>
        </w:tabs>
        <w:ind w:firstLine="420"/>
        <w:rPr>
          <w:rFonts w:ascii="Times New Roman"/>
          <w:kern w:val="2"/>
          <w:szCs w:val="21"/>
        </w:rPr>
      </w:pPr>
    </w:p>
    <w:p w14:paraId="37F67914">
      <w:pPr>
        <w:pStyle w:val="30"/>
        <w:ind w:firstLine="0"/>
        <w:contextualSpacing/>
        <w:rPr>
          <w:rFonts w:ascii="黑体" w:hAnsi="黑体" w:eastAsia="黑体" w:cs="仿宋"/>
          <w:bCs/>
        </w:rPr>
      </w:pPr>
      <w:r>
        <w:rPr>
          <w:rFonts w:hint="eastAsia" w:ascii="黑体" w:hAnsi="黑体" w:eastAsia="黑体" w:cs="仿宋"/>
          <w:bCs/>
        </w:rPr>
        <w:t xml:space="preserve">7  </w:t>
      </w:r>
      <w:r>
        <w:rPr>
          <w:rFonts w:ascii="黑体" w:hAnsi="黑体" w:eastAsia="黑体" w:cs="仿宋"/>
          <w:bCs/>
        </w:rPr>
        <w:t>田间管理</w:t>
      </w:r>
    </w:p>
    <w:p w14:paraId="027FF61A">
      <w:pPr>
        <w:pStyle w:val="30"/>
        <w:ind w:firstLine="0"/>
        <w:contextualSpacing/>
        <w:rPr>
          <w:rFonts w:ascii="黑体" w:hAnsi="黑体" w:eastAsia="黑体" w:cs="仿宋"/>
          <w:bCs/>
        </w:rPr>
      </w:pPr>
    </w:p>
    <w:p w14:paraId="73107D73">
      <w:pPr>
        <w:pStyle w:val="30"/>
        <w:ind w:firstLine="0"/>
        <w:contextualSpacing/>
        <w:rPr>
          <w:rFonts w:ascii="黑体" w:hAnsi="黑体" w:eastAsia="黑体" w:cs="仿宋"/>
          <w:bCs/>
        </w:rPr>
      </w:pPr>
      <w:bookmarkStart w:id="0" w:name="_Toc8374"/>
      <w:bookmarkStart w:id="1" w:name="_Toc29311"/>
      <w:r>
        <w:rPr>
          <w:rFonts w:hint="eastAsia" w:ascii="黑体" w:hAnsi="黑体" w:eastAsia="黑体" w:cs="仿宋"/>
          <w:bCs/>
        </w:rPr>
        <w:t>7.1  间苗定苗</w:t>
      </w:r>
      <w:bookmarkEnd w:id="0"/>
      <w:bookmarkEnd w:id="1"/>
    </w:p>
    <w:p w14:paraId="2F3CFEAF">
      <w:pPr>
        <w:pStyle w:val="29"/>
        <w:tabs>
          <w:tab w:val="center" w:pos="4201"/>
          <w:tab w:val="right" w:leader="dot" w:pos="9298"/>
        </w:tabs>
        <w:ind w:firstLine="420"/>
        <w:rPr>
          <w:rFonts w:ascii="Times New Roman"/>
          <w:kern w:val="2"/>
          <w:szCs w:val="21"/>
        </w:rPr>
      </w:pPr>
      <w:r>
        <w:rPr>
          <w:rFonts w:hint="eastAsia" w:ascii="Times New Roman"/>
          <w:kern w:val="2"/>
          <w:szCs w:val="21"/>
        </w:rPr>
        <w:t>播种后出苗前及时检查发芽出苗情况，如发现烂种、烂芽，要及时催芽补种。三叶期间苗，每穴留</w:t>
      </w:r>
      <w:r>
        <w:rPr>
          <w:rFonts w:ascii="Times New Roman"/>
          <w:kern w:val="2"/>
          <w:szCs w:val="21"/>
        </w:rPr>
        <w:t>2</w:t>
      </w:r>
      <w:r>
        <w:rPr>
          <w:rFonts w:hint="eastAsia" w:ascii="Times New Roman"/>
          <w:kern w:val="2"/>
          <w:szCs w:val="21"/>
        </w:rPr>
        <w:t>株，四叶期定苗，每穴留</w:t>
      </w:r>
      <w:r>
        <w:rPr>
          <w:rFonts w:ascii="Times New Roman"/>
          <w:kern w:val="2"/>
          <w:szCs w:val="21"/>
        </w:rPr>
        <w:t>1</w:t>
      </w:r>
      <w:r>
        <w:rPr>
          <w:rFonts w:hint="eastAsia" w:ascii="Times New Roman"/>
          <w:kern w:val="2"/>
          <w:szCs w:val="21"/>
        </w:rPr>
        <w:t>株。对于易生分蘖的品种，当分蘖出现后及早拔除。</w:t>
      </w:r>
    </w:p>
    <w:p w14:paraId="6469C67B">
      <w:pPr>
        <w:pStyle w:val="30"/>
        <w:ind w:firstLine="0"/>
        <w:contextualSpacing/>
        <w:rPr>
          <w:rFonts w:ascii="黑体" w:hAnsi="黑体" w:eastAsia="黑体" w:cs="仿宋"/>
          <w:bCs/>
        </w:rPr>
      </w:pPr>
      <w:r>
        <w:rPr>
          <w:rFonts w:hint="eastAsia" w:ascii="黑体" w:hAnsi="黑体" w:eastAsia="黑体" w:cs="仿宋"/>
          <w:bCs/>
        </w:rPr>
        <w:t>7.2  灌溉</w:t>
      </w:r>
    </w:p>
    <w:p w14:paraId="4329E9F7">
      <w:pPr>
        <w:pStyle w:val="29"/>
        <w:tabs>
          <w:tab w:val="center" w:pos="4201"/>
          <w:tab w:val="right" w:leader="dot" w:pos="9298"/>
        </w:tabs>
        <w:ind w:firstLine="420"/>
        <w:rPr>
          <w:rFonts w:ascii="Times New Roman"/>
          <w:kern w:val="2"/>
          <w:szCs w:val="21"/>
        </w:rPr>
      </w:pPr>
      <w:r>
        <w:rPr>
          <w:rFonts w:hint="eastAsia" w:ascii="Times New Roman"/>
          <w:kern w:val="2"/>
          <w:szCs w:val="21"/>
        </w:rPr>
        <w:t>南方丘陵降雨较多，一般不用灌溉，但在关键生育时期如遇干旱应及时灌溉。灌溉用水坚持以天然无污染水源为主，不使用工业废水和生活废水。同时注意防渍排涝。</w:t>
      </w:r>
    </w:p>
    <w:p w14:paraId="0F1F7F7E">
      <w:pPr>
        <w:pStyle w:val="30"/>
        <w:ind w:firstLine="0"/>
        <w:contextualSpacing/>
        <w:rPr>
          <w:rFonts w:ascii="黑体" w:hAnsi="黑体" w:eastAsia="黑体" w:cs="仿宋"/>
          <w:bCs/>
        </w:rPr>
      </w:pPr>
      <w:r>
        <w:rPr>
          <w:rFonts w:hint="eastAsia" w:ascii="黑体" w:hAnsi="黑体" w:eastAsia="黑体" w:cs="仿宋"/>
          <w:bCs/>
        </w:rPr>
        <w:t>7.3  施肥</w:t>
      </w:r>
    </w:p>
    <w:p w14:paraId="7A160356">
      <w:pPr>
        <w:pStyle w:val="30"/>
        <w:ind w:firstLine="0"/>
        <w:contextualSpacing/>
        <w:rPr>
          <w:rFonts w:ascii="黑体" w:hAnsi="黑体" w:eastAsia="黑体" w:cs="仿宋"/>
          <w:bCs/>
        </w:rPr>
      </w:pPr>
      <w:r>
        <w:rPr>
          <w:rFonts w:hint="eastAsia" w:ascii="黑体" w:hAnsi="黑体" w:eastAsia="黑体" w:cs="仿宋"/>
          <w:bCs/>
        </w:rPr>
        <w:t>7.3.1  施肥原则</w:t>
      </w:r>
    </w:p>
    <w:p w14:paraId="4C35FE94">
      <w:pPr>
        <w:pStyle w:val="29"/>
        <w:tabs>
          <w:tab w:val="center" w:pos="4201"/>
          <w:tab w:val="right" w:leader="dot" w:pos="9298"/>
        </w:tabs>
        <w:ind w:firstLine="420"/>
        <w:rPr>
          <w:rFonts w:ascii="Times New Roman"/>
          <w:kern w:val="2"/>
          <w:szCs w:val="21"/>
        </w:rPr>
      </w:pPr>
      <w:r>
        <w:rPr>
          <w:rFonts w:hint="eastAsia" w:ascii="Times New Roman"/>
          <w:kern w:val="2"/>
          <w:szCs w:val="21"/>
        </w:rPr>
        <w:t>肥料使用应符合NY/T 394的规定。</w:t>
      </w:r>
    </w:p>
    <w:p w14:paraId="23B42A45">
      <w:pPr>
        <w:pStyle w:val="30"/>
        <w:ind w:firstLine="0"/>
        <w:contextualSpacing/>
        <w:rPr>
          <w:rFonts w:ascii="黑体" w:hAnsi="黑体" w:eastAsia="黑体" w:cs="仿宋"/>
          <w:bCs/>
        </w:rPr>
      </w:pPr>
      <w:r>
        <w:rPr>
          <w:rFonts w:hint="eastAsia" w:ascii="黑体" w:hAnsi="黑体" w:eastAsia="黑体" w:cs="仿宋"/>
          <w:bCs/>
        </w:rPr>
        <w:t>7.3.2  轻施苗肥</w:t>
      </w:r>
    </w:p>
    <w:p w14:paraId="5F045DD5">
      <w:pPr>
        <w:pStyle w:val="29"/>
        <w:tabs>
          <w:tab w:val="center" w:pos="4201"/>
          <w:tab w:val="right" w:leader="dot" w:pos="9298"/>
        </w:tabs>
        <w:ind w:firstLine="420"/>
        <w:rPr>
          <w:rFonts w:ascii="Times New Roman"/>
          <w:kern w:val="2"/>
          <w:szCs w:val="21"/>
        </w:rPr>
      </w:pPr>
      <w:r>
        <w:rPr>
          <w:rFonts w:hint="eastAsia" w:ascii="Times New Roman"/>
          <w:kern w:val="2"/>
          <w:szCs w:val="21"/>
        </w:rPr>
        <w:t>三至四叶期，在定苗后及时追施提苗、壮苗肥。每亩施3kg～4kg尿素，调腐熟粪水1500kg淋施。</w:t>
      </w:r>
    </w:p>
    <w:p w14:paraId="3719EE6A">
      <w:pPr>
        <w:pStyle w:val="30"/>
        <w:ind w:firstLine="0"/>
        <w:contextualSpacing/>
        <w:rPr>
          <w:rFonts w:ascii="黑体" w:hAnsi="黑体" w:eastAsia="黑体" w:cs="仿宋"/>
          <w:bCs/>
        </w:rPr>
      </w:pPr>
      <w:r>
        <w:rPr>
          <w:rFonts w:hint="eastAsia" w:ascii="黑体" w:hAnsi="黑体" w:eastAsia="黑体" w:cs="仿宋"/>
          <w:bCs/>
        </w:rPr>
        <w:t>7.3.3 巧施拔节肥</w:t>
      </w:r>
    </w:p>
    <w:p w14:paraId="68624B47">
      <w:pPr>
        <w:pStyle w:val="29"/>
        <w:tabs>
          <w:tab w:val="center" w:pos="4201"/>
          <w:tab w:val="right" w:leader="dot" w:pos="9298"/>
        </w:tabs>
        <w:ind w:firstLine="420"/>
        <w:rPr>
          <w:rFonts w:ascii="Times New Roman"/>
          <w:kern w:val="2"/>
          <w:szCs w:val="21"/>
        </w:rPr>
      </w:pPr>
      <w:r>
        <w:rPr>
          <w:rFonts w:hint="eastAsia" w:ascii="Times New Roman"/>
          <w:kern w:val="2"/>
          <w:szCs w:val="21"/>
        </w:rPr>
        <w:t>看苗色确定施肥量，于拔节前在两株中间打穴施肥。每亩施尿素8kg～10kg、氯化钾12kg～15k。</w:t>
      </w:r>
    </w:p>
    <w:p w14:paraId="18432224">
      <w:pPr>
        <w:pStyle w:val="30"/>
        <w:ind w:firstLine="0"/>
        <w:contextualSpacing/>
        <w:rPr>
          <w:rFonts w:ascii="黑体" w:hAnsi="黑体" w:eastAsia="黑体" w:cs="仿宋"/>
          <w:bCs/>
        </w:rPr>
      </w:pPr>
      <w:r>
        <w:rPr>
          <w:rFonts w:hint="eastAsia" w:ascii="黑体" w:hAnsi="黑体" w:eastAsia="黑体" w:cs="仿宋"/>
          <w:bCs/>
        </w:rPr>
        <w:t>7.3.4  重施穗肥</w:t>
      </w:r>
    </w:p>
    <w:p w14:paraId="5AE21C75">
      <w:pPr>
        <w:pStyle w:val="29"/>
        <w:tabs>
          <w:tab w:val="center" w:pos="4201"/>
          <w:tab w:val="right" w:leader="dot" w:pos="9298"/>
        </w:tabs>
        <w:ind w:firstLine="420"/>
        <w:rPr>
          <w:rFonts w:ascii="Times New Roman"/>
          <w:kern w:val="2"/>
          <w:szCs w:val="21"/>
        </w:rPr>
      </w:pPr>
      <w:r>
        <w:rPr>
          <w:rFonts w:hint="eastAsia" w:ascii="Times New Roman"/>
          <w:kern w:val="2"/>
          <w:szCs w:val="21"/>
        </w:rPr>
        <w:t>在大喇叭期，每亩施尿素10kg～15kg、氯化钾5kg～10kg攻大穗，采用行间打穴或开沟施入，结合培土，防植株倒伏。追肥部位离植株8cm～12cm，深度10cm。</w:t>
      </w:r>
    </w:p>
    <w:p w14:paraId="3ED409FB">
      <w:pPr>
        <w:pStyle w:val="30"/>
        <w:ind w:firstLine="0"/>
        <w:contextualSpacing/>
        <w:rPr>
          <w:rFonts w:ascii="黑体" w:hAnsi="黑体" w:eastAsia="黑体" w:cs="仿宋"/>
          <w:bCs/>
        </w:rPr>
      </w:pPr>
      <w:bookmarkStart w:id="2" w:name="_Toc4421"/>
      <w:r>
        <w:rPr>
          <w:rFonts w:hint="eastAsia" w:ascii="黑体" w:hAnsi="黑体" w:eastAsia="黑体" w:cs="仿宋"/>
          <w:bCs/>
        </w:rPr>
        <w:t>7.4 病虫草害防治</w:t>
      </w:r>
      <w:bookmarkEnd w:id="2"/>
    </w:p>
    <w:p w14:paraId="2935B042">
      <w:pPr>
        <w:pStyle w:val="30"/>
        <w:ind w:firstLine="0"/>
        <w:contextualSpacing/>
        <w:rPr>
          <w:rFonts w:ascii="黑体" w:hAnsi="黑体" w:eastAsia="黑体" w:cs="仿宋"/>
          <w:bCs/>
        </w:rPr>
      </w:pPr>
      <w:r>
        <w:rPr>
          <w:rFonts w:hint="eastAsia" w:ascii="黑体" w:hAnsi="黑体" w:eastAsia="黑体" w:cs="仿宋"/>
          <w:bCs/>
        </w:rPr>
        <w:t>7.4.1 防治原则</w:t>
      </w:r>
    </w:p>
    <w:p w14:paraId="3DAED434">
      <w:pPr>
        <w:pStyle w:val="29"/>
        <w:tabs>
          <w:tab w:val="center" w:pos="4201"/>
          <w:tab w:val="right" w:leader="dot" w:pos="9298"/>
        </w:tabs>
        <w:ind w:firstLine="420"/>
        <w:rPr>
          <w:rFonts w:ascii="Times New Roman"/>
          <w:kern w:val="2"/>
          <w:szCs w:val="21"/>
        </w:rPr>
      </w:pPr>
      <w:r>
        <w:rPr>
          <w:rFonts w:hint="eastAsia" w:ascii="Times New Roman"/>
          <w:kern w:val="2"/>
          <w:szCs w:val="21"/>
        </w:rPr>
        <w:t>病虫草害防治坚持“预防为主，综合防治”的原则，按照当地常见病虫草害发生的特点，以农业防治为基础，充分采用生物、物理等防治措施，可以有限度的使用部分有机合成农药进行化学防治，有效控制病虫草危害。农药使用应符合NY/T 393的规定。</w:t>
      </w:r>
    </w:p>
    <w:p w14:paraId="5638AFB1">
      <w:pPr>
        <w:pStyle w:val="30"/>
        <w:ind w:firstLine="0"/>
        <w:contextualSpacing/>
        <w:rPr>
          <w:rFonts w:ascii="黑体" w:hAnsi="黑体" w:eastAsia="黑体" w:cs="仿宋"/>
          <w:bCs/>
        </w:rPr>
      </w:pPr>
      <w:r>
        <w:rPr>
          <w:rFonts w:hint="eastAsia" w:ascii="黑体" w:hAnsi="黑体" w:eastAsia="黑体" w:cs="仿宋"/>
          <w:bCs/>
        </w:rPr>
        <w:t>7.4.2 常见病虫草害</w:t>
      </w:r>
    </w:p>
    <w:p w14:paraId="63824A25">
      <w:pPr>
        <w:pStyle w:val="29"/>
        <w:tabs>
          <w:tab w:val="center" w:pos="4201"/>
          <w:tab w:val="right" w:leader="dot" w:pos="9298"/>
        </w:tabs>
        <w:ind w:firstLine="420"/>
        <w:rPr>
          <w:rFonts w:ascii="Times New Roman"/>
          <w:kern w:val="2"/>
          <w:szCs w:val="21"/>
        </w:rPr>
      </w:pPr>
      <w:r>
        <w:rPr>
          <w:rFonts w:hint="eastAsia" w:ascii="Times New Roman"/>
          <w:kern w:val="2"/>
          <w:szCs w:val="21"/>
        </w:rPr>
        <w:t>玉米大小斑病、玉米蚜虫、粘虫、玉米螟、禾本科杂草等。</w:t>
      </w:r>
    </w:p>
    <w:p w14:paraId="23B55DCF">
      <w:pPr>
        <w:pStyle w:val="30"/>
        <w:ind w:firstLine="0"/>
        <w:contextualSpacing/>
        <w:rPr>
          <w:rFonts w:ascii="黑体" w:hAnsi="黑体" w:eastAsia="黑体" w:cs="仿宋"/>
          <w:bCs/>
        </w:rPr>
      </w:pPr>
      <w:r>
        <w:rPr>
          <w:rFonts w:hint="eastAsia" w:ascii="黑体" w:hAnsi="黑体" w:eastAsia="黑体" w:cs="仿宋"/>
          <w:bCs/>
        </w:rPr>
        <w:t>7.4.3 防治方法</w:t>
      </w:r>
    </w:p>
    <w:p w14:paraId="10B3E860">
      <w:pPr>
        <w:pStyle w:val="30"/>
        <w:ind w:firstLine="0"/>
        <w:contextualSpacing/>
        <w:rPr>
          <w:rFonts w:ascii="黑体" w:hAnsi="黑体" w:eastAsia="黑体" w:cs="仿宋"/>
          <w:bCs/>
        </w:rPr>
      </w:pPr>
      <w:r>
        <w:rPr>
          <w:rFonts w:hint="eastAsia" w:ascii="黑体" w:hAnsi="黑体" w:eastAsia="黑体" w:cs="仿宋"/>
          <w:bCs/>
        </w:rPr>
        <w:t>7.4.3.1农业防治</w:t>
      </w:r>
    </w:p>
    <w:p w14:paraId="4E318945">
      <w:pPr>
        <w:pStyle w:val="29"/>
        <w:tabs>
          <w:tab w:val="center" w:pos="4201"/>
          <w:tab w:val="right" w:leader="dot" w:pos="9298"/>
        </w:tabs>
        <w:ind w:firstLine="420"/>
        <w:rPr>
          <w:rFonts w:ascii="Times New Roman"/>
          <w:kern w:val="2"/>
          <w:szCs w:val="21"/>
        </w:rPr>
      </w:pPr>
      <w:r>
        <w:rPr>
          <w:rFonts w:hint="eastAsia" w:ascii="Times New Roman"/>
          <w:kern w:val="2"/>
          <w:szCs w:val="21"/>
        </w:rPr>
        <w:t>栽培抗病品种、种子种苗检疫、培育壮苗、加强栽培管理、中耕除草、耕翻晒垡、清洁田园、轮作倒茬、间作套种等。</w:t>
      </w:r>
    </w:p>
    <w:p w14:paraId="7DCF46EE">
      <w:pPr>
        <w:pStyle w:val="30"/>
        <w:ind w:firstLine="0"/>
        <w:contextualSpacing/>
        <w:rPr>
          <w:rFonts w:ascii="黑体" w:hAnsi="黑体" w:eastAsia="黑体" w:cs="仿宋"/>
          <w:bCs/>
        </w:rPr>
      </w:pPr>
      <w:r>
        <w:rPr>
          <w:rFonts w:hint="eastAsia" w:ascii="黑体" w:hAnsi="黑体" w:eastAsia="黑体" w:cs="仿宋"/>
          <w:bCs/>
        </w:rPr>
        <w:t>7.4.3.2 物理防治</w:t>
      </w:r>
    </w:p>
    <w:p w14:paraId="4817D807">
      <w:pPr>
        <w:pStyle w:val="29"/>
        <w:tabs>
          <w:tab w:val="center" w:pos="4201"/>
          <w:tab w:val="right" w:leader="dot" w:pos="9298"/>
        </w:tabs>
        <w:ind w:firstLine="420"/>
        <w:rPr>
          <w:rFonts w:ascii="Times New Roman"/>
          <w:kern w:val="2"/>
          <w:szCs w:val="21"/>
        </w:rPr>
      </w:pPr>
      <w:r>
        <w:rPr>
          <w:rFonts w:hint="eastAsia" w:ascii="Times New Roman"/>
          <w:kern w:val="2"/>
          <w:szCs w:val="21"/>
        </w:rPr>
        <w:t>根据害虫生物学特性趋光性强，可选用频震灯、黑光灯诱杀成虫或人工捕杀、清除病株等方法绿色防控。</w:t>
      </w:r>
    </w:p>
    <w:p w14:paraId="72F5A871">
      <w:pPr>
        <w:pStyle w:val="30"/>
        <w:ind w:firstLine="0"/>
        <w:contextualSpacing/>
        <w:rPr>
          <w:rFonts w:ascii="黑体" w:hAnsi="黑体" w:eastAsia="黑体" w:cs="仿宋"/>
          <w:bCs/>
        </w:rPr>
      </w:pPr>
      <w:r>
        <w:rPr>
          <w:rFonts w:hint="eastAsia" w:ascii="黑体" w:hAnsi="黑体" w:eastAsia="黑体" w:cs="仿宋"/>
          <w:bCs/>
        </w:rPr>
        <w:t>7.4.3.3 生物防治</w:t>
      </w:r>
    </w:p>
    <w:p w14:paraId="1CB9DE3F">
      <w:pPr>
        <w:pStyle w:val="29"/>
        <w:tabs>
          <w:tab w:val="center" w:pos="4201"/>
          <w:tab w:val="right" w:leader="dot" w:pos="9298"/>
        </w:tabs>
        <w:ind w:firstLine="420"/>
        <w:rPr>
          <w:rFonts w:ascii="Times New Roman"/>
          <w:kern w:val="2"/>
          <w:szCs w:val="21"/>
        </w:rPr>
      </w:pPr>
      <w:r>
        <w:rPr>
          <w:rFonts w:hint="eastAsia" w:ascii="Times New Roman"/>
          <w:kern w:val="2"/>
          <w:szCs w:val="21"/>
        </w:rPr>
        <w:t>依据当地田间调查及预测预报，利用捕食性生物天敌、寄生性生物、病原微生物如白僵菌和苏云金杆菌等防治病虫害。</w:t>
      </w:r>
    </w:p>
    <w:p w14:paraId="469B1498">
      <w:pPr>
        <w:pStyle w:val="30"/>
        <w:ind w:firstLine="0"/>
        <w:contextualSpacing/>
        <w:rPr>
          <w:rFonts w:ascii="黑体" w:hAnsi="黑体" w:eastAsia="黑体" w:cs="仿宋"/>
          <w:bCs/>
        </w:rPr>
      </w:pPr>
      <w:r>
        <w:rPr>
          <w:rFonts w:hint="eastAsia" w:ascii="黑体" w:hAnsi="黑体" w:eastAsia="黑体" w:cs="仿宋"/>
          <w:bCs/>
        </w:rPr>
        <w:t>7.4.3.4化学防治</w:t>
      </w:r>
    </w:p>
    <w:p w14:paraId="30DB6F7F">
      <w:pPr>
        <w:pStyle w:val="29"/>
        <w:tabs>
          <w:tab w:val="center" w:pos="4201"/>
          <w:tab w:val="right" w:leader="dot" w:pos="9298"/>
        </w:tabs>
        <w:ind w:firstLine="420"/>
        <w:rPr>
          <w:rFonts w:ascii="Times New Roman"/>
          <w:kern w:val="2"/>
          <w:szCs w:val="21"/>
        </w:rPr>
      </w:pPr>
      <w:r>
        <w:rPr>
          <w:rFonts w:hint="eastAsia" w:ascii="Times New Roman"/>
          <w:kern w:val="2"/>
          <w:szCs w:val="21"/>
        </w:rPr>
        <w:t>一般不使用化学农药防治，在采收期坚决不用化学农药防治。加强病虫发生的动态的监测与预报，在病虫害较为严重时可采用化学农药防治，具体防治措施见附录A。</w:t>
      </w:r>
    </w:p>
    <w:p w14:paraId="6ABC6526">
      <w:pPr>
        <w:pStyle w:val="29"/>
        <w:tabs>
          <w:tab w:val="center" w:pos="4201"/>
          <w:tab w:val="right" w:leader="dot" w:pos="9298"/>
        </w:tabs>
        <w:ind w:firstLine="420"/>
        <w:rPr>
          <w:rFonts w:ascii="Times New Roman"/>
          <w:kern w:val="2"/>
          <w:szCs w:val="21"/>
        </w:rPr>
      </w:pPr>
    </w:p>
    <w:p w14:paraId="67CDE132">
      <w:pPr>
        <w:pStyle w:val="30"/>
        <w:ind w:firstLine="0"/>
        <w:contextualSpacing/>
        <w:rPr>
          <w:rFonts w:ascii="黑体" w:hAnsi="黑体" w:eastAsia="黑体" w:cs="仿宋"/>
          <w:bCs/>
        </w:rPr>
      </w:pPr>
      <w:r>
        <w:rPr>
          <w:rFonts w:hint="eastAsia" w:ascii="黑体" w:hAnsi="黑体" w:eastAsia="黑体" w:cs="仿宋"/>
          <w:bCs/>
        </w:rPr>
        <w:t>8  采收</w:t>
      </w:r>
    </w:p>
    <w:p w14:paraId="4A0B652C">
      <w:pPr>
        <w:spacing w:line="420" w:lineRule="exact"/>
        <w:outlineLvl w:val="0"/>
        <w:rPr>
          <w:rFonts w:ascii="黑体" w:eastAsia="黑体"/>
          <w:highlight w:val="yellow"/>
        </w:rPr>
      </w:pPr>
    </w:p>
    <w:p w14:paraId="60812FC0">
      <w:pPr>
        <w:pStyle w:val="29"/>
        <w:tabs>
          <w:tab w:val="center" w:pos="4201"/>
          <w:tab w:val="right" w:leader="dot" w:pos="9298"/>
        </w:tabs>
        <w:ind w:firstLine="420"/>
        <w:rPr>
          <w:rFonts w:ascii="Times New Roman"/>
          <w:kern w:val="2"/>
          <w:szCs w:val="21"/>
        </w:rPr>
      </w:pPr>
      <w:r>
        <w:rPr>
          <w:rFonts w:hint="eastAsia" w:ascii="Times New Roman"/>
          <w:kern w:val="2"/>
          <w:szCs w:val="21"/>
        </w:rPr>
        <w:t>开花授粉后，要注意观察籽粒灌浆进度，做到适时采收，一般吐丝授粉后</w:t>
      </w:r>
      <w:r>
        <w:rPr>
          <w:rFonts w:ascii="Times New Roman"/>
          <w:kern w:val="2"/>
          <w:szCs w:val="21"/>
        </w:rPr>
        <w:t>20d</w:t>
      </w:r>
      <w:r>
        <w:rPr>
          <w:rFonts w:hint="eastAsia" w:ascii="Times New Roman"/>
          <w:kern w:val="2"/>
          <w:szCs w:val="21"/>
        </w:rPr>
        <w:t>～</w:t>
      </w:r>
      <w:r>
        <w:rPr>
          <w:rFonts w:ascii="Times New Roman"/>
          <w:kern w:val="2"/>
          <w:szCs w:val="21"/>
        </w:rPr>
        <w:t>25d</w:t>
      </w:r>
      <w:r>
        <w:rPr>
          <w:rFonts w:hint="eastAsia" w:ascii="Times New Roman"/>
          <w:kern w:val="2"/>
          <w:szCs w:val="21"/>
        </w:rPr>
        <w:t>带苞叶收获，若采收期处于高温或低温阶段，应适当提早或推迟收获。</w:t>
      </w:r>
    </w:p>
    <w:p w14:paraId="5BCED17C">
      <w:pPr>
        <w:pStyle w:val="29"/>
        <w:tabs>
          <w:tab w:val="center" w:pos="4201"/>
          <w:tab w:val="right" w:leader="dot" w:pos="9298"/>
        </w:tabs>
        <w:ind w:firstLine="420"/>
        <w:rPr>
          <w:rFonts w:ascii="Times New Roman"/>
          <w:kern w:val="2"/>
          <w:szCs w:val="21"/>
        </w:rPr>
      </w:pPr>
    </w:p>
    <w:p w14:paraId="39871758">
      <w:pPr>
        <w:pStyle w:val="30"/>
        <w:ind w:firstLine="0"/>
        <w:contextualSpacing/>
        <w:rPr>
          <w:rFonts w:ascii="黑体" w:hAnsi="黑体" w:eastAsia="黑体" w:cs="仿宋"/>
          <w:bCs/>
        </w:rPr>
      </w:pPr>
      <w:r>
        <w:rPr>
          <w:rFonts w:hint="eastAsia" w:ascii="黑体" w:hAnsi="黑体" w:eastAsia="黑体" w:cs="仿宋"/>
          <w:bCs/>
        </w:rPr>
        <w:t>9  玉米保鲜加工</w:t>
      </w:r>
    </w:p>
    <w:p w14:paraId="67977719">
      <w:pPr>
        <w:pStyle w:val="30"/>
        <w:ind w:firstLine="0"/>
        <w:contextualSpacing/>
        <w:rPr>
          <w:rFonts w:ascii="黑体" w:hAnsi="黑体" w:eastAsia="黑体" w:cs="仿宋"/>
          <w:bCs/>
        </w:rPr>
      </w:pPr>
    </w:p>
    <w:p w14:paraId="5BC7A39A">
      <w:pPr>
        <w:pStyle w:val="30"/>
        <w:ind w:firstLine="0"/>
        <w:contextualSpacing/>
        <w:rPr>
          <w:rFonts w:ascii="黑体" w:hAnsi="黑体" w:eastAsia="黑体" w:cs="仿宋"/>
          <w:bCs/>
        </w:rPr>
      </w:pPr>
      <w:r>
        <w:rPr>
          <w:rFonts w:hint="eastAsia" w:ascii="黑体" w:hAnsi="黑体" w:eastAsia="黑体" w:cs="仿宋"/>
          <w:bCs/>
        </w:rPr>
        <w:t>9.1  鲜穗采收后及时上市销售或保鲜加工。果穗保鲜加工方法：速冻加工和真空包装。</w:t>
      </w:r>
    </w:p>
    <w:p w14:paraId="303F1CD0">
      <w:pPr>
        <w:pStyle w:val="30"/>
        <w:ind w:firstLine="0"/>
        <w:contextualSpacing/>
        <w:rPr>
          <w:rFonts w:ascii="黑体" w:hAnsi="黑体" w:eastAsia="黑体" w:cs="仿宋"/>
          <w:bCs/>
        </w:rPr>
      </w:pPr>
      <w:r>
        <w:rPr>
          <w:rFonts w:hint="eastAsia" w:ascii="黑体" w:hAnsi="黑体" w:eastAsia="黑体" w:cs="仿宋"/>
          <w:bCs/>
        </w:rPr>
        <w:t>9.2  速冻加工技术</w:t>
      </w:r>
    </w:p>
    <w:p w14:paraId="1105ECA5">
      <w:pPr>
        <w:pStyle w:val="29"/>
        <w:tabs>
          <w:tab w:val="center" w:pos="4201"/>
          <w:tab w:val="right" w:leader="dot" w:pos="9298"/>
        </w:tabs>
        <w:ind w:firstLine="420"/>
        <w:rPr>
          <w:rFonts w:ascii="Times New Roman"/>
          <w:kern w:val="2"/>
          <w:szCs w:val="21"/>
        </w:rPr>
      </w:pPr>
      <w:r>
        <w:rPr>
          <w:rFonts w:hint="eastAsia" w:ascii="Times New Roman"/>
          <w:kern w:val="2"/>
          <w:szCs w:val="21"/>
        </w:rPr>
        <w:t>鲜食玉米的一般冷冻加工工艺流程为：原料果穗－剥皮－检验－浸泡－清洗－漂烫－冷却－沥干－修整－冻结－检验－包装－封口－装箱－入库贮存。</w:t>
      </w:r>
    </w:p>
    <w:p w14:paraId="650861AB">
      <w:pPr>
        <w:pStyle w:val="30"/>
        <w:ind w:firstLine="0"/>
        <w:contextualSpacing/>
        <w:rPr>
          <w:rFonts w:ascii="黑体" w:hAnsi="黑体" w:eastAsia="黑体" w:cs="仿宋"/>
          <w:bCs/>
        </w:rPr>
      </w:pPr>
      <w:r>
        <w:rPr>
          <w:rFonts w:hint="eastAsia" w:ascii="黑体" w:hAnsi="黑体" w:eastAsia="黑体" w:cs="仿宋"/>
          <w:bCs/>
        </w:rPr>
        <w:t>9.3  真空包装技术</w:t>
      </w:r>
    </w:p>
    <w:p w14:paraId="52FD4FEF">
      <w:pPr>
        <w:pStyle w:val="29"/>
        <w:tabs>
          <w:tab w:val="center" w:pos="4201"/>
          <w:tab w:val="right" w:leader="dot" w:pos="9298"/>
        </w:tabs>
        <w:ind w:firstLine="420"/>
        <w:rPr>
          <w:rFonts w:ascii="Times New Roman"/>
          <w:kern w:val="2"/>
          <w:szCs w:val="21"/>
        </w:rPr>
      </w:pPr>
      <w:r>
        <w:rPr>
          <w:rFonts w:hint="eastAsia" w:ascii="Times New Roman"/>
          <w:kern w:val="2"/>
          <w:szCs w:val="21"/>
        </w:rPr>
        <w:t>真空包装鲜食玉米一般工艺流程为：原料采收－整理－漂洗－蒸煮－冷却－装袋－真空密封－高温杀菌－冷却－成品。</w:t>
      </w:r>
    </w:p>
    <w:p w14:paraId="50807FB1">
      <w:pPr>
        <w:pStyle w:val="29"/>
        <w:tabs>
          <w:tab w:val="center" w:pos="4201"/>
          <w:tab w:val="right" w:leader="dot" w:pos="9298"/>
        </w:tabs>
        <w:ind w:firstLine="420"/>
        <w:rPr>
          <w:rFonts w:ascii="Times New Roman"/>
          <w:kern w:val="2"/>
          <w:szCs w:val="21"/>
        </w:rPr>
      </w:pPr>
    </w:p>
    <w:p w14:paraId="4EC67D2E">
      <w:pPr>
        <w:pStyle w:val="30"/>
        <w:ind w:firstLine="0"/>
        <w:contextualSpacing/>
        <w:rPr>
          <w:rFonts w:ascii="黑体" w:hAnsi="黑体" w:eastAsia="黑体" w:cs="仿宋"/>
          <w:bCs/>
        </w:rPr>
      </w:pPr>
      <w:r>
        <w:rPr>
          <w:rFonts w:hint="eastAsia" w:ascii="黑体" w:hAnsi="黑体" w:eastAsia="黑体" w:cs="仿宋"/>
          <w:bCs/>
        </w:rPr>
        <w:t>10  贮藏与运输</w:t>
      </w:r>
    </w:p>
    <w:p w14:paraId="74124B27">
      <w:pPr>
        <w:pStyle w:val="30"/>
        <w:ind w:firstLine="0"/>
        <w:contextualSpacing/>
        <w:rPr>
          <w:rFonts w:ascii="黑体" w:hAnsi="黑体" w:eastAsia="黑体" w:cs="仿宋"/>
          <w:bCs/>
        </w:rPr>
      </w:pPr>
      <w:r>
        <w:rPr>
          <w:rFonts w:hint="eastAsia" w:ascii="黑体" w:hAnsi="黑体" w:eastAsia="黑体" w:cs="仿宋"/>
          <w:bCs/>
        </w:rPr>
        <w:t>10.1  贮藏原则</w:t>
      </w:r>
    </w:p>
    <w:p w14:paraId="33414223">
      <w:pPr>
        <w:pStyle w:val="29"/>
        <w:tabs>
          <w:tab w:val="center" w:pos="4201"/>
          <w:tab w:val="right" w:leader="dot" w:pos="9298"/>
        </w:tabs>
        <w:ind w:firstLine="420"/>
        <w:rPr>
          <w:rFonts w:ascii="Times New Roman"/>
          <w:kern w:val="2"/>
          <w:szCs w:val="21"/>
        </w:rPr>
      </w:pPr>
      <w:r>
        <w:rPr>
          <w:rFonts w:hint="eastAsia" w:ascii="Times New Roman"/>
          <w:kern w:val="2"/>
          <w:szCs w:val="21"/>
        </w:rPr>
        <w:t>鲜食玉米可以在采收后存放库房2d～3d，也可在保鲜加加工根据需要存放库房。</w:t>
      </w:r>
    </w:p>
    <w:p w14:paraId="4029D8C9">
      <w:pPr>
        <w:pStyle w:val="30"/>
        <w:ind w:firstLine="0"/>
        <w:contextualSpacing/>
        <w:rPr>
          <w:rFonts w:ascii="黑体" w:hAnsi="黑体" w:eastAsia="黑体" w:cs="仿宋"/>
          <w:bCs/>
        </w:rPr>
      </w:pPr>
      <w:r>
        <w:rPr>
          <w:rFonts w:hint="eastAsia" w:ascii="黑体" w:hAnsi="黑体" w:eastAsia="黑体" w:cs="仿宋"/>
          <w:bCs/>
        </w:rPr>
        <w:t>10.2  库房质量</w:t>
      </w:r>
    </w:p>
    <w:p w14:paraId="09EF1C96">
      <w:pPr>
        <w:pStyle w:val="29"/>
        <w:tabs>
          <w:tab w:val="center" w:pos="4201"/>
          <w:tab w:val="right" w:leader="dot" w:pos="9298"/>
        </w:tabs>
        <w:ind w:firstLine="420"/>
        <w:rPr>
          <w:rFonts w:ascii="Times New Roman"/>
          <w:kern w:val="2"/>
          <w:szCs w:val="21"/>
        </w:rPr>
      </w:pPr>
      <w:r>
        <w:rPr>
          <w:rFonts w:hint="eastAsia" w:ascii="Times New Roman"/>
          <w:kern w:val="2"/>
          <w:szCs w:val="21"/>
        </w:rPr>
        <w:t>库房符合NY/T 1056要求，具有坚固、防潮、隔热、通风和密闭等性能。库房内温度必须保持在4℃以下，相对湿度应控制在65%以下。</w:t>
      </w:r>
    </w:p>
    <w:p w14:paraId="6B96D7CA">
      <w:pPr>
        <w:pStyle w:val="30"/>
        <w:ind w:firstLine="0"/>
        <w:contextualSpacing/>
        <w:rPr>
          <w:rFonts w:ascii="黑体" w:hAnsi="黑体" w:eastAsia="黑体" w:cs="仿宋"/>
          <w:bCs/>
        </w:rPr>
      </w:pPr>
      <w:r>
        <w:rPr>
          <w:rFonts w:hint="eastAsia" w:ascii="黑体" w:hAnsi="黑体" w:eastAsia="黑体" w:cs="仿宋"/>
          <w:bCs/>
        </w:rPr>
        <w:t>10.3  运输</w:t>
      </w:r>
    </w:p>
    <w:p w14:paraId="494FC507">
      <w:pPr>
        <w:pStyle w:val="29"/>
        <w:tabs>
          <w:tab w:val="center" w:pos="4201"/>
          <w:tab w:val="right" w:leader="dot" w:pos="9298"/>
        </w:tabs>
        <w:ind w:firstLine="420"/>
        <w:rPr>
          <w:rFonts w:ascii="Times New Roman"/>
          <w:kern w:val="2"/>
          <w:szCs w:val="21"/>
        </w:rPr>
      </w:pPr>
      <w:r>
        <w:rPr>
          <w:rFonts w:hint="eastAsia" w:ascii="Times New Roman"/>
          <w:kern w:val="2"/>
          <w:szCs w:val="21"/>
        </w:rPr>
        <w:t>运输工具应清洁、干燥、有防雨设施。严禁与有毒、有害、有腐蚀性、有异味物品混运。</w:t>
      </w:r>
    </w:p>
    <w:p w14:paraId="78276432">
      <w:pPr>
        <w:pStyle w:val="30"/>
        <w:ind w:firstLine="0"/>
        <w:contextualSpacing/>
        <w:rPr>
          <w:rFonts w:ascii="黑体" w:hAnsi="黑体" w:eastAsia="黑体" w:cs="仿宋"/>
          <w:bCs/>
        </w:rPr>
      </w:pPr>
    </w:p>
    <w:p w14:paraId="3B46B503">
      <w:pPr>
        <w:pStyle w:val="30"/>
        <w:ind w:firstLine="0"/>
        <w:contextualSpacing/>
        <w:rPr>
          <w:rFonts w:ascii="黑体" w:hAnsi="黑体" w:eastAsia="黑体" w:cs="仿宋"/>
          <w:bCs/>
        </w:rPr>
      </w:pPr>
      <w:bookmarkStart w:id="3" w:name="_Toc7670"/>
      <w:r>
        <w:rPr>
          <w:rFonts w:hint="eastAsia" w:ascii="黑体" w:hAnsi="黑体" w:eastAsia="黑体" w:cs="仿宋"/>
          <w:bCs/>
        </w:rPr>
        <w:t>11  生产废弃物的处理</w:t>
      </w:r>
    </w:p>
    <w:p w14:paraId="753D5518">
      <w:pPr>
        <w:pStyle w:val="30"/>
        <w:ind w:firstLine="0"/>
        <w:contextualSpacing/>
        <w:rPr>
          <w:rFonts w:ascii="黑体" w:hAnsi="黑体" w:eastAsia="黑体" w:cs="仿宋"/>
          <w:bCs/>
        </w:rPr>
      </w:pPr>
    </w:p>
    <w:p w14:paraId="583E8A98">
      <w:pPr>
        <w:pStyle w:val="30"/>
        <w:ind w:firstLine="0"/>
        <w:contextualSpacing/>
        <w:rPr>
          <w:rFonts w:ascii="黑体" w:hAnsi="黑体" w:eastAsia="黑体" w:cs="仿宋"/>
          <w:bCs/>
        </w:rPr>
      </w:pPr>
      <w:r>
        <w:rPr>
          <w:rFonts w:hint="eastAsia" w:ascii="黑体" w:hAnsi="黑体" w:eastAsia="黑体" w:cs="仿宋"/>
          <w:bCs/>
        </w:rPr>
        <w:t>11.1  秸秆综合利用</w:t>
      </w:r>
    </w:p>
    <w:p w14:paraId="0F78FFEA">
      <w:pPr>
        <w:pStyle w:val="29"/>
        <w:tabs>
          <w:tab w:val="center" w:pos="4201"/>
          <w:tab w:val="right" w:leader="dot" w:pos="9298"/>
        </w:tabs>
        <w:ind w:firstLine="420"/>
        <w:rPr>
          <w:rFonts w:ascii="Times New Roman"/>
          <w:kern w:val="2"/>
          <w:szCs w:val="21"/>
        </w:rPr>
      </w:pPr>
      <w:r>
        <w:rPr>
          <w:rFonts w:hint="eastAsia" w:ascii="Times New Roman"/>
          <w:kern w:val="2"/>
          <w:szCs w:val="21"/>
        </w:rPr>
        <w:t>鲜穗采收后，秸秆可直接用于青贮饲料，过腹还田，也可粉碎后深埋还田，禁止焚烧。</w:t>
      </w:r>
    </w:p>
    <w:p w14:paraId="7639B4D4">
      <w:pPr>
        <w:pStyle w:val="30"/>
        <w:ind w:firstLine="0"/>
        <w:contextualSpacing/>
        <w:rPr>
          <w:rFonts w:ascii="黑体" w:hAnsi="黑体" w:eastAsia="黑体" w:cs="仿宋"/>
          <w:bCs/>
        </w:rPr>
      </w:pPr>
      <w:r>
        <w:rPr>
          <w:rFonts w:hint="eastAsia" w:ascii="黑体" w:hAnsi="黑体" w:eastAsia="黑体" w:cs="仿宋"/>
          <w:bCs/>
        </w:rPr>
        <w:t>11.2  破损果穗等的处理</w:t>
      </w:r>
    </w:p>
    <w:p w14:paraId="7FDA9067">
      <w:pPr>
        <w:pStyle w:val="29"/>
        <w:tabs>
          <w:tab w:val="center" w:pos="4201"/>
          <w:tab w:val="right" w:leader="dot" w:pos="9298"/>
        </w:tabs>
        <w:ind w:firstLine="420"/>
        <w:rPr>
          <w:rFonts w:ascii="Times New Roman"/>
          <w:kern w:val="2"/>
          <w:szCs w:val="21"/>
        </w:rPr>
      </w:pPr>
      <w:r>
        <w:rPr>
          <w:rFonts w:hint="eastAsia" w:ascii="Times New Roman"/>
          <w:kern w:val="2"/>
          <w:szCs w:val="21"/>
        </w:rPr>
        <w:t>在生产过程中，意外破损的果穗应及时收集，可进行家畜喂养、包装时去除的苞叶也可运用于饲草加工。</w:t>
      </w:r>
    </w:p>
    <w:p w14:paraId="6A256A9B">
      <w:pPr>
        <w:pStyle w:val="30"/>
        <w:ind w:firstLine="0"/>
        <w:contextualSpacing/>
        <w:rPr>
          <w:rFonts w:ascii="黑体" w:hAnsi="黑体" w:eastAsia="黑体" w:cs="仿宋"/>
          <w:bCs/>
        </w:rPr>
      </w:pPr>
      <w:r>
        <w:rPr>
          <w:rFonts w:hint="eastAsia" w:ascii="黑体" w:hAnsi="黑体" w:eastAsia="黑体" w:cs="仿宋"/>
          <w:bCs/>
        </w:rPr>
        <w:t>11.3  地膜的处理</w:t>
      </w:r>
    </w:p>
    <w:p w14:paraId="01305164">
      <w:pPr>
        <w:pStyle w:val="29"/>
        <w:tabs>
          <w:tab w:val="center" w:pos="4201"/>
          <w:tab w:val="right" w:leader="dot" w:pos="9298"/>
        </w:tabs>
        <w:ind w:firstLine="420"/>
        <w:rPr>
          <w:rFonts w:ascii="Times New Roman"/>
          <w:kern w:val="2"/>
          <w:szCs w:val="21"/>
        </w:rPr>
      </w:pPr>
      <w:r>
        <w:rPr>
          <w:rFonts w:hint="eastAsia" w:ascii="Times New Roman"/>
          <w:kern w:val="2"/>
          <w:szCs w:val="21"/>
        </w:rPr>
        <w:t>地膜尽量减少使用或选择质量较好的地膜重复使用，在翻地、整地时尽早回收，可通过手工或耙子收集残留地膜，减少污染，严禁焚烧地膜。</w:t>
      </w:r>
    </w:p>
    <w:p w14:paraId="53E7B728">
      <w:pPr>
        <w:pStyle w:val="30"/>
        <w:ind w:firstLine="0"/>
        <w:contextualSpacing/>
        <w:rPr>
          <w:rFonts w:ascii="黑体" w:hAnsi="黑体" w:eastAsia="黑体" w:cs="仿宋"/>
          <w:bCs/>
        </w:rPr>
      </w:pPr>
      <w:r>
        <w:rPr>
          <w:rFonts w:hint="eastAsia" w:ascii="黑体" w:hAnsi="黑体" w:eastAsia="黑体" w:cs="仿宋"/>
          <w:bCs/>
        </w:rPr>
        <w:t>11.4  生产资料包装的处理</w:t>
      </w:r>
    </w:p>
    <w:p w14:paraId="1D23BCAF">
      <w:pPr>
        <w:pStyle w:val="29"/>
        <w:tabs>
          <w:tab w:val="center" w:pos="4201"/>
          <w:tab w:val="right" w:leader="dot" w:pos="9298"/>
        </w:tabs>
        <w:ind w:firstLine="420"/>
        <w:rPr>
          <w:rFonts w:ascii="Times New Roman"/>
          <w:kern w:val="2"/>
          <w:szCs w:val="21"/>
        </w:rPr>
      </w:pPr>
      <w:r>
        <w:rPr>
          <w:rFonts w:hint="eastAsia" w:ascii="Times New Roman"/>
          <w:kern w:val="2"/>
          <w:szCs w:val="21"/>
        </w:rPr>
        <w:t>农药、肥料包装袋禁止乱扔，也不应重复使用。农药空包装物应多次清洗，再将其损坏，以防止重复使用，要回收的需及时贴上标签，便于回收处理。肥料包装在符合安全、卫生和环境标准的条件下、需进行分类回收处理。</w:t>
      </w:r>
    </w:p>
    <w:bookmarkEnd w:id="3"/>
    <w:p w14:paraId="2F32C419">
      <w:pPr>
        <w:pStyle w:val="30"/>
        <w:ind w:firstLine="0"/>
        <w:contextualSpacing/>
        <w:rPr>
          <w:rFonts w:ascii="黑体" w:hAnsi="黑体" w:eastAsia="黑体" w:cs="仿宋"/>
          <w:bCs/>
        </w:rPr>
      </w:pPr>
    </w:p>
    <w:p w14:paraId="3FC7D0AE">
      <w:pPr>
        <w:pStyle w:val="30"/>
        <w:ind w:firstLine="0"/>
        <w:contextualSpacing/>
        <w:rPr>
          <w:rFonts w:ascii="黑体" w:hAnsi="黑体" w:eastAsia="黑体" w:cs="仿宋"/>
          <w:bCs/>
        </w:rPr>
      </w:pPr>
      <w:r>
        <w:rPr>
          <w:rFonts w:hint="eastAsia" w:ascii="黑体" w:hAnsi="黑体" w:eastAsia="黑体" w:cs="仿宋"/>
          <w:bCs/>
        </w:rPr>
        <w:t>12  建立生产档案</w:t>
      </w:r>
    </w:p>
    <w:p w14:paraId="094B47FC">
      <w:pPr>
        <w:pStyle w:val="30"/>
        <w:ind w:firstLine="0"/>
        <w:contextualSpacing/>
        <w:rPr>
          <w:rFonts w:ascii="黑体" w:hAnsi="黑体" w:eastAsia="黑体" w:cs="仿宋"/>
          <w:bCs/>
        </w:rPr>
      </w:pPr>
    </w:p>
    <w:p w14:paraId="2F05EE2A">
      <w:pPr>
        <w:pStyle w:val="29"/>
        <w:tabs>
          <w:tab w:val="center" w:pos="4201"/>
          <w:tab w:val="right" w:leader="dot" w:pos="9298"/>
        </w:tabs>
        <w:ind w:firstLine="420"/>
        <w:rPr>
          <w:rFonts w:ascii="Times New Roman"/>
          <w:kern w:val="2"/>
          <w:szCs w:val="21"/>
        </w:rPr>
      </w:pPr>
      <w:r>
        <w:rPr>
          <w:rFonts w:hint="eastAsia" w:ascii="Times New Roman"/>
          <w:kern w:val="2"/>
          <w:szCs w:val="21"/>
        </w:rPr>
        <w:t>建立绿色食品鲜食玉米生产档案。就详细记录产地环境条件、生产技术、肥水管理、病虫草害的发生和防治、采收及采后的加工、贮藏和运输等情况并保存记录3年以上。</w:t>
      </w:r>
    </w:p>
    <w:p w14:paraId="4292E4B8">
      <w:pPr>
        <w:pStyle w:val="29"/>
        <w:tabs>
          <w:tab w:val="center" w:pos="4201"/>
          <w:tab w:val="right" w:leader="dot" w:pos="9298"/>
        </w:tabs>
        <w:ind w:firstLine="420"/>
        <w:rPr>
          <w:rFonts w:ascii="Times New Roman"/>
          <w:kern w:val="2"/>
          <w:szCs w:val="21"/>
        </w:rPr>
      </w:pPr>
    </w:p>
    <w:p w14:paraId="76C0F514">
      <w:pPr>
        <w:pStyle w:val="29"/>
        <w:tabs>
          <w:tab w:val="center" w:pos="4201"/>
          <w:tab w:val="right" w:leader="dot" w:pos="9298"/>
        </w:tabs>
        <w:ind w:firstLine="420"/>
        <w:rPr>
          <w:rFonts w:ascii="Times New Roman"/>
        </w:rPr>
      </w:pPr>
    </w:p>
    <w:p w14:paraId="3998783B">
      <w:pPr>
        <w:pStyle w:val="29"/>
        <w:tabs>
          <w:tab w:val="center" w:pos="4201"/>
          <w:tab w:val="right" w:leader="dot" w:pos="9298"/>
        </w:tabs>
        <w:ind w:firstLine="0" w:firstLineChars="0"/>
        <w:jc w:val="center"/>
        <w:rPr>
          <w:rFonts w:ascii="黑体" w:hAnsi="黑体" w:eastAsia="黑体"/>
          <w:bCs/>
          <w:szCs w:val="21"/>
        </w:rPr>
      </w:pPr>
    </w:p>
    <w:p w14:paraId="3DC6CB17">
      <w:pPr>
        <w:pStyle w:val="29"/>
        <w:tabs>
          <w:tab w:val="center" w:pos="4201"/>
          <w:tab w:val="right" w:leader="dot" w:pos="9298"/>
        </w:tabs>
        <w:ind w:firstLine="0" w:firstLineChars="0"/>
        <w:jc w:val="center"/>
        <w:rPr>
          <w:rFonts w:ascii="黑体" w:hAnsi="黑体" w:eastAsia="黑体"/>
          <w:bCs/>
          <w:szCs w:val="21"/>
        </w:rPr>
      </w:pPr>
    </w:p>
    <w:p w14:paraId="18B08A18">
      <w:pPr>
        <w:pStyle w:val="29"/>
        <w:tabs>
          <w:tab w:val="center" w:pos="4201"/>
          <w:tab w:val="right" w:leader="dot" w:pos="9298"/>
        </w:tabs>
        <w:ind w:firstLine="0" w:firstLineChars="0"/>
        <w:jc w:val="center"/>
        <w:rPr>
          <w:rFonts w:ascii="黑体" w:hAnsi="黑体" w:eastAsia="黑体"/>
          <w:bCs/>
          <w:szCs w:val="21"/>
        </w:rPr>
      </w:pPr>
    </w:p>
    <w:p w14:paraId="1E5032B1">
      <w:pPr>
        <w:pStyle w:val="29"/>
        <w:tabs>
          <w:tab w:val="center" w:pos="4201"/>
          <w:tab w:val="right" w:leader="dot" w:pos="9298"/>
        </w:tabs>
        <w:ind w:firstLine="0" w:firstLineChars="0"/>
        <w:jc w:val="center"/>
        <w:rPr>
          <w:rFonts w:ascii="黑体" w:hAnsi="黑体" w:eastAsia="黑体"/>
          <w:bCs/>
          <w:szCs w:val="21"/>
        </w:rPr>
      </w:pPr>
    </w:p>
    <w:p w14:paraId="6FBDA5CB">
      <w:pPr>
        <w:pStyle w:val="29"/>
        <w:tabs>
          <w:tab w:val="center" w:pos="4201"/>
          <w:tab w:val="right" w:leader="dot" w:pos="9298"/>
        </w:tabs>
        <w:ind w:firstLine="0" w:firstLineChars="0"/>
        <w:jc w:val="center"/>
        <w:rPr>
          <w:rFonts w:ascii="黑体" w:hAnsi="黑体" w:eastAsia="黑体"/>
          <w:bCs/>
          <w:szCs w:val="21"/>
        </w:rPr>
      </w:pPr>
    </w:p>
    <w:p w14:paraId="6F2DD878">
      <w:pPr>
        <w:pStyle w:val="29"/>
        <w:tabs>
          <w:tab w:val="center" w:pos="4201"/>
          <w:tab w:val="right" w:leader="dot" w:pos="9298"/>
        </w:tabs>
        <w:ind w:firstLine="0" w:firstLineChars="0"/>
        <w:jc w:val="center"/>
        <w:rPr>
          <w:rFonts w:ascii="黑体" w:hAnsi="黑体" w:eastAsia="黑体"/>
          <w:bCs/>
          <w:szCs w:val="21"/>
        </w:rPr>
      </w:pPr>
    </w:p>
    <w:p w14:paraId="0B70B05A">
      <w:pPr>
        <w:pStyle w:val="29"/>
        <w:tabs>
          <w:tab w:val="center" w:pos="4201"/>
          <w:tab w:val="right" w:leader="dot" w:pos="9298"/>
        </w:tabs>
        <w:ind w:firstLine="0" w:firstLineChars="0"/>
        <w:jc w:val="center"/>
        <w:rPr>
          <w:rFonts w:ascii="黑体" w:hAnsi="黑体" w:eastAsia="黑体"/>
          <w:bCs/>
          <w:szCs w:val="21"/>
        </w:rPr>
      </w:pPr>
    </w:p>
    <w:p w14:paraId="09D7637B">
      <w:pPr>
        <w:pStyle w:val="29"/>
        <w:tabs>
          <w:tab w:val="center" w:pos="4201"/>
          <w:tab w:val="right" w:leader="dot" w:pos="9298"/>
        </w:tabs>
        <w:ind w:firstLine="0" w:firstLineChars="0"/>
        <w:jc w:val="center"/>
        <w:rPr>
          <w:rFonts w:ascii="黑体" w:hAnsi="黑体" w:eastAsia="黑体"/>
          <w:bCs/>
          <w:szCs w:val="21"/>
        </w:rPr>
      </w:pPr>
    </w:p>
    <w:p w14:paraId="72CBCEC5">
      <w:pPr>
        <w:pStyle w:val="29"/>
        <w:tabs>
          <w:tab w:val="center" w:pos="4201"/>
          <w:tab w:val="right" w:leader="dot" w:pos="9298"/>
        </w:tabs>
        <w:ind w:firstLine="0" w:firstLineChars="0"/>
        <w:jc w:val="center"/>
        <w:rPr>
          <w:rFonts w:ascii="黑体" w:hAnsi="黑体" w:eastAsia="黑体"/>
          <w:bCs/>
          <w:szCs w:val="21"/>
        </w:rPr>
      </w:pPr>
    </w:p>
    <w:p w14:paraId="1294A3EC">
      <w:pPr>
        <w:pStyle w:val="29"/>
        <w:tabs>
          <w:tab w:val="center" w:pos="4201"/>
          <w:tab w:val="right" w:leader="dot" w:pos="9298"/>
        </w:tabs>
        <w:ind w:firstLine="0" w:firstLineChars="0"/>
        <w:jc w:val="center"/>
        <w:rPr>
          <w:rFonts w:ascii="黑体" w:hAnsi="黑体" w:eastAsia="黑体"/>
          <w:bCs/>
          <w:szCs w:val="21"/>
        </w:rPr>
      </w:pPr>
    </w:p>
    <w:p w14:paraId="33E19E7C">
      <w:pPr>
        <w:pStyle w:val="29"/>
        <w:tabs>
          <w:tab w:val="center" w:pos="4201"/>
          <w:tab w:val="right" w:leader="dot" w:pos="9298"/>
        </w:tabs>
        <w:ind w:firstLine="0" w:firstLineChars="0"/>
        <w:jc w:val="center"/>
        <w:rPr>
          <w:rFonts w:ascii="黑体" w:hAnsi="黑体" w:eastAsia="黑体"/>
          <w:bCs/>
          <w:szCs w:val="21"/>
        </w:rPr>
      </w:pPr>
    </w:p>
    <w:p w14:paraId="0D668B3C">
      <w:pPr>
        <w:pStyle w:val="29"/>
        <w:tabs>
          <w:tab w:val="center" w:pos="4201"/>
          <w:tab w:val="right" w:leader="dot" w:pos="9298"/>
        </w:tabs>
        <w:ind w:firstLine="0" w:firstLineChars="0"/>
        <w:jc w:val="center"/>
        <w:rPr>
          <w:rFonts w:ascii="黑体" w:hAnsi="黑体" w:eastAsia="黑体"/>
          <w:bCs/>
          <w:szCs w:val="21"/>
        </w:rPr>
      </w:pPr>
    </w:p>
    <w:p w14:paraId="74C6E583">
      <w:pPr>
        <w:pStyle w:val="29"/>
        <w:tabs>
          <w:tab w:val="center" w:pos="4201"/>
          <w:tab w:val="right" w:leader="dot" w:pos="9298"/>
        </w:tabs>
        <w:ind w:firstLine="0" w:firstLineChars="0"/>
        <w:jc w:val="center"/>
        <w:rPr>
          <w:rFonts w:ascii="黑体" w:hAnsi="黑体" w:eastAsia="黑体"/>
          <w:bCs/>
          <w:szCs w:val="21"/>
        </w:rPr>
      </w:pPr>
    </w:p>
    <w:p w14:paraId="55AABB1D">
      <w:pPr>
        <w:pStyle w:val="29"/>
        <w:tabs>
          <w:tab w:val="center" w:pos="4201"/>
          <w:tab w:val="right" w:leader="dot" w:pos="9298"/>
        </w:tabs>
        <w:ind w:firstLine="0" w:firstLineChars="0"/>
        <w:jc w:val="center"/>
        <w:rPr>
          <w:rFonts w:ascii="黑体" w:hAnsi="黑体" w:eastAsia="黑体"/>
          <w:bCs/>
          <w:szCs w:val="21"/>
        </w:rPr>
      </w:pPr>
    </w:p>
    <w:p w14:paraId="55B7FA88">
      <w:pPr>
        <w:pStyle w:val="29"/>
        <w:tabs>
          <w:tab w:val="center" w:pos="4201"/>
          <w:tab w:val="right" w:leader="dot" w:pos="9298"/>
        </w:tabs>
        <w:ind w:firstLine="0" w:firstLineChars="0"/>
        <w:jc w:val="center"/>
        <w:rPr>
          <w:rFonts w:ascii="黑体" w:hAnsi="黑体" w:eastAsia="黑体"/>
          <w:bCs/>
          <w:szCs w:val="21"/>
        </w:rPr>
      </w:pPr>
    </w:p>
    <w:p w14:paraId="5EBC5634">
      <w:pPr>
        <w:pStyle w:val="29"/>
        <w:tabs>
          <w:tab w:val="center" w:pos="4201"/>
          <w:tab w:val="right" w:leader="dot" w:pos="9298"/>
        </w:tabs>
        <w:ind w:firstLine="0" w:firstLineChars="0"/>
        <w:jc w:val="center"/>
        <w:rPr>
          <w:rFonts w:ascii="黑体" w:hAnsi="黑体" w:eastAsia="黑体"/>
          <w:bCs/>
          <w:szCs w:val="21"/>
        </w:rPr>
      </w:pPr>
    </w:p>
    <w:p w14:paraId="1F950F46">
      <w:pPr>
        <w:pStyle w:val="29"/>
        <w:tabs>
          <w:tab w:val="center" w:pos="4201"/>
          <w:tab w:val="right" w:leader="dot" w:pos="9298"/>
        </w:tabs>
        <w:ind w:firstLine="0" w:firstLineChars="0"/>
        <w:jc w:val="center"/>
        <w:rPr>
          <w:rFonts w:ascii="黑体" w:hAnsi="黑体" w:eastAsia="黑体"/>
          <w:bCs/>
          <w:szCs w:val="21"/>
        </w:rPr>
      </w:pPr>
    </w:p>
    <w:p w14:paraId="506932BB">
      <w:pPr>
        <w:pStyle w:val="29"/>
        <w:tabs>
          <w:tab w:val="center" w:pos="4201"/>
          <w:tab w:val="right" w:leader="dot" w:pos="9298"/>
        </w:tabs>
        <w:ind w:firstLine="0" w:firstLineChars="0"/>
        <w:jc w:val="center"/>
        <w:rPr>
          <w:rFonts w:ascii="黑体" w:hAnsi="黑体" w:eastAsia="黑体"/>
          <w:bCs/>
          <w:szCs w:val="21"/>
        </w:rPr>
      </w:pPr>
    </w:p>
    <w:p w14:paraId="02866F22">
      <w:pPr>
        <w:pStyle w:val="29"/>
        <w:tabs>
          <w:tab w:val="center" w:pos="4201"/>
          <w:tab w:val="right" w:leader="dot" w:pos="9298"/>
        </w:tabs>
        <w:ind w:firstLine="0" w:firstLineChars="0"/>
        <w:jc w:val="center"/>
        <w:rPr>
          <w:rFonts w:ascii="黑体" w:hAnsi="黑体" w:eastAsia="黑体"/>
          <w:bCs/>
          <w:szCs w:val="21"/>
        </w:rPr>
      </w:pPr>
    </w:p>
    <w:p w14:paraId="31A8C3A1">
      <w:pPr>
        <w:pStyle w:val="29"/>
        <w:tabs>
          <w:tab w:val="center" w:pos="4201"/>
          <w:tab w:val="right" w:leader="dot" w:pos="9298"/>
        </w:tabs>
        <w:ind w:firstLine="0" w:firstLineChars="0"/>
        <w:jc w:val="center"/>
        <w:rPr>
          <w:rFonts w:ascii="黑体" w:hAnsi="黑体" w:eastAsia="黑体"/>
          <w:bCs/>
          <w:szCs w:val="21"/>
        </w:rPr>
      </w:pPr>
    </w:p>
    <w:p w14:paraId="6045A418">
      <w:pPr>
        <w:pStyle w:val="29"/>
        <w:tabs>
          <w:tab w:val="center" w:pos="4201"/>
          <w:tab w:val="right" w:leader="dot" w:pos="9298"/>
        </w:tabs>
        <w:ind w:firstLine="0" w:firstLineChars="0"/>
        <w:jc w:val="center"/>
        <w:rPr>
          <w:rFonts w:ascii="黑体" w:hAnsi="黑体" w:eastAsia="黑体"/>
          <w:bCs/>
          <w:szCs w:val="21"/>
        </w:rPr>
      </w:pPr>
    </w:p>
    <w:p w14:paraId="73E62CE5">
      <w:pPr>
        <w:pStyle w:val="29"/>
        <w:tabs>
          <w:tab w:val="center" w:pos="4201"/>
          <w:tab w:val="right" w:leader="dot" w:pos="9298"/>
        </w:tabs>
        <w:ind w:firstLine="0" w:firstLineChars="0"/>
        <w:jc w:val="center"/>
        <w:rPr>
          <w:rFonts w:ascii="黑体" w:hAnsi="黑体" w:eastAsia="黑体"/>
          <w:bCs/>
          <w:szCs w:val="21"/>
        </w:rPr>
      </w:pPr>
    </w:p>
    <w:p w14:paraId="3D5D9083">
      <w:pPr>
        <w:pStyle w:val="29"/>
        <w:tabs>
          <w:tab w:val="center" w:pos="4201"/>
          <w:tab w:val="right" w:leader="dot" w:pos="9298"/>
        </w:tabs>
        <w:ind w:firstLine="0" w:firstLineChars="0"/>
        <w:jc w:val="center"/>
        <w:rPr>
          <w:rFonts w:ascii="黑体" w:hAnsi="黑体" w:eastAsia="黑体"/>
          <w:bCs/>
          <w:szCs w:val="21"/>
        </w:rPr>
      </w:pPr>
    </w:p>
    <w:p w14:paraId="314FEFF9">
      <w:pPr>
        <w:pStyle w:val="29"/>
        <w:tabs>
          <w:tab w:val="center" w:pos="4201"/>
          <w:tab w:val="right" w:leader="dot" w:pos="9298"/>
        </w:tabs>
        <w:ind w:firstLine="0" w:firstLineChars="0"/>
        <w:jc w:val="center"/>
        <w:rPr>
          <w:rFonts w:ascii="黑体" w:hAnsi="黑体" w:eastAsia="黑体"/>
          <w:bCs/>
          <w:szCs w:val="21"/>
        </w:rPr>
      </w:pPr>
    </w:p>
    <w:p w14:paraId="5D4C2614">
      <w:pPr>
        <w:pStyle w:val="29"/>
        <w:tabs>
          <w:tab w:val="center" w:pos="4201"/>
          <w:tab w:val="right" w:leader="dot" w:pos="9298"/>
        </w:tabs>
        <w:ind w:firstLine="0" w:firstLineChars="0"/>
        <w:jc w:val="center"/>
        <w:rPr>
          <w:rFonts w:ascii="黑体" w:hAnsi="黑体" w:eastAsia="黑体"/>
          <w:bCs/>
          <w:szCs w:val="21"/>
        </w:rPr>
      </w:pPr>
    </w:p>
    <w:p w14:paraId="6CB72BDE">
      <w:pPr>
        <w:pStyle w:val="29"/>
        <w:ind w:firstLine="199" w:firstLineChars="95"/>
        <w:jc w:val="center"/>
        <w:rPr>
          <w:rFonts w:ascii="黑体" w:hAnsi="黑体" w:eastAsia="黑体"/>
        </w:rPr>
      </w:pPr>
      <w:r>
        <w:rPr>
          <w:rFonts w:hint="eastAsia" w:ascii="黑体" w:hAnsi="黑体" w:eastAsia="黑体" w:cs="黑体"/>
        </w:rPr>
        <w:t>附</w:t>
      </w:r>
      <w:r>
        <w:rPr>
          <w:rFonts w:ascii="黑体" w:hAnsi="黑体" w:eastAsia="黑体" w:cs="黑体"/>
        </w:rPr>
        <w:t xml:space="preserve">  </w:t>
      </w:r>
      <w:r>
        <w:rPr>
          <w:rFonts w:hint="eastAsia" w:ascii="黑体" w:hAnsi="黑体" w:eastAsia="黑体" w:cs="黑体"/>
        </w:rPr>
        <w:t>录</w:t>
      </w:r>
      <w:r>
        <w:rPr>
          <w:rFonts w:ascii="黑体" w:hAnsi="黑体" w:eastAsia="黑体" w:cs="黑体"/>
        </w:rPr>
        <w:t xml:space="preserve">  A</w:t>
      </w:r>
    </w:p>
    <w:p w14:paraId="07DC7727">
      <w:pPr>
        <w:jc w:val="center"/>
        <w:rPr>
          <w:rFonts w:ascii="黑体" w:hAnsi="黑体" w:eastAsia="黑体"/>
        </w:rPr>
      </w:pPr>
      <w:r>
        <w:rPr>
          <w:rFonts w:hint="eastAsia" w:ascii="黑体" w:hAnsi="黑体" w:eastAsia="黑体" w:cs="黑体"/>
        </w:rPr>
        <w:t>（资料性附录）</w:t>
      </w:r>
    </w:p>
    <w:p w14:paraId="4540069C">
      <w:pPr>
        <w:jc w:val="center"/>
        <w:rPr>
          <w:rFonts w:ascii="黑体" w:hAnsi="黑体" w:eastAsia="黑体"/>
        </w:rPr>
      </w:pPr>
      <w:r>
        <w:rPr>
          <w:rFonts w:hint="eastAsia" w:ascii="黑体" w:hAnsi="黑体" w:eastAsia="黑体" w:cs="黑体"/>
        </w:rPr>
        <w:t xml:space="preserve"> 绿色食品  南方丘陵地区鲜食玉米主要病虫草害化学防治方案</w:t>
      </w:r>
    </w:p>
    <w:p w14:paraId="7A1E2E16">
      <w:pPr>
        <w:pStyle w:val="31"/>
        <w:ind w:left="720" w:firstLine="0" w:firstLineChars="0"/>
        <w:rPr>
          <w:rFonts w:ascii="黑体" w:hAnsi="黑体" w:eastAsia="黑体" w:cs="Times New Roman"/>
          <w:b/>
          <w:bCs/>
        </w:rPr>
      </w:pPr>
    </w:p>
    <w:tbl>
      <w:tblPr>
        <w:tblStyle w:val="9"/>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039"/>
        <w:gridCol w:w="1555"/>
        <w:gridCol w:w="2260"/>
        <w:gridCol w:w="1701"/>
        <w:gridCol w:w="1142"/>
        <w:gridCol w:w="1126"/>
      </w:tblGrid>
      <w:tr w14:paraId="576E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39" w:type="dxa"/>
            <w:shd w:val="clear" w:color="auto" w:fill="FFFFFF" w:themeFill="background1"/>
            <w:vAlign w:val="center"/>
          </w:tcPr>
          <w:p w14:paraId="3DC2B2D8">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防治对象</w:t>
            </w:r>
          </w:p>
        </w:tc>
        <w:tc>
          <w:tcPr>
            <w:tcW w:w="1555" w:type="dxa"/>
            <w:shd w:val="clear" w:color="auto" w:fill="FFFFFF" w:themeFill="background1"/>
            <w:vAlign w:val="center"/>
          </w:tcPr>
          <w:p w14:paraId="3C07CCAF">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防治时期</w:t>
            </w:r>
          </w:p>
        </w:tc>
        <w:tc>
          <w:tcPr>
            <w:tcW w:w="2260" w:type="dxa"/>
            <w:shd w:val="clear" w:color="auto" w:fill="FFFFFF" w:themeFill="background1"/>
            <w:vAlign w:val="center"/>
          </w:tcPr>
          <w:p w14:paraId="653DBC33">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农药名称</w:t>
            </w:r>
          </w:p>
        </w:tc>
        <w:tc>
          <w:tcPr>
            <w:tcW w:w="1701" w:type="dxa"/>
            <w:shd w:val="clear" w:color="auto" w:fill="FFFFFF" w:themeFill="background1"/>
            <w:vAlign w:val="center"/>
          </w:tcPr>
          <w:p w14:paraId="2388A1B2">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使用剂量</w:t>
            </w:r>
          </w:p>
          <w:p w14:paraId="5CE3CB81">
            <w:pPr>
              <w:widowControl/>
              <w:adjustRightInd w:val="0"/>
              <w:snapToGrid w:val="0"/>
              <w:jc w:val="center"/>
              <w:rPr>
                <w:rFonts w:ascii="宋体"/>
                <w:color w:val="000000"/>
                <w:kern w:val="0"/>
                <w:sz w:val="18"/>
                <w:szCs w:val="18"/>
              </w:rPr>
            </w:pPr>
            <w:r>
              <w:rPr>
                <w:rFonts w:ascii="宋体" w:hAnsi="宋体" w:cs="宋体"/>
                <w:color w:val="000000"/>
                <w:kern w:val="0"/>
                <w:sz w:val="18"/>
                <w:szCs w:val="18"/>
              </w:rPr>
              <w:t>ml(g)/</w:t>
            </w:r>
            <w:r>
              <w:rPr>
                <w:rFonts w:hint="eastAsia" w:ascii="宋体" w:hAnsi="宋体" w:cs="宋体"/>
                <w:color w:val="000000"/>
                <w:kern w:val="0"/>
                <w:sz w:val="18"/>
                <w:szCs w:val="18"/>
              </w:rPr>
              <w:t>亩</w:t>
            </w:r>
          </w:p>
        </w:tc>
        <w:tc>
          <w:tcPr>
            <w:tcW w:w="1142" w:type="dxa"/>
            <w:shd w:val="clear" w:color="auto" w:fill="FFFFFF" w:themeFill="background1"/>
            <w:vAlign w:val="center"/>
          </w:tcPr>
          <w:p w14:paraId="258B3A9B">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施药方法</w:t>
            </w:r>
          </w:p>
        </w:tc>
        <w:tc>
          <w:tcPr>
            <w:tcW w:w="1126" w:type="dxa"/>
            <w:shd w:val="clear" w:color="auto" w:fill="FFFFFF" w:themeFill="background1"/>
            <w:vAlign w:val="center"/>
          </w:tcPr>
          <w:p w14:paraId="2701FF12">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安全间隔期</w:t>
            </w:r>
          </w:p>
          <w:p w14:paraId="25F4133B">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天数</w:t>
            </w:r>
          </w:p>
        </w:tc>
      </w:tr>
      <w:tr w14:paraId="75F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7" w:hRule="atLeast"/>
          <w:jc w:val="center"/>
        </w:trPr>
        <w:tc>
          <w:tcPr>
            <w:tcW w:w="2039" w:type="dxa"/>
            <w:shd w:val="clear" w:color="auto" w:fill="FFFFFF" w:themeFill="background1"/>
            <w:vAlign w:val="center"/>
          </w:tcPr>
          <w:p w14:paraId="03BF6D99">
            <w:pPr>
              <w:widowControl/>
              <w:adjustRightInd w:val="0"/>
              <w:snapToGrid w:val="0"/>
              <w:jc w:val="center"/>
              <w:rPr>
                <w:rFonts w:ascii="宋体" w:cs="宋体"/>
                <w:color w:val="000000"/>
                <w:kern w:val="0"/>
                <w:sz w:val="18"/>
                <w:szCs w:val="18"/>
              </w:rPr>
            </w:pPr>
            <w:r>
              <w:rPr>
                <w:rFonts w:hint="eastAsia" w:ascii="宋体" w:hAnsi="宋体" w:cs="宋体"/>
                <w:sz w:val="18"/>
                <w:szCs w:val="18"/>
              </w:rPr>
              <w:t>玉米螟</w:t>
            </w:r>
          </w:p>
        </w:tc>
        <w:tc>
          <w:tcPr>
            <w:tcW w:w="1555" w:type="dxa"/>
            <w:shd w:val="clear" w:color="auto" w:fill="FFFFFF" w:themeFill="background1"/>
            <w:vAlign w:val="center"/>
          </w:tcPr>
          <w:p w14:paraId="7E9D5C8F">
            <w:pPr>
              <w:widowControl/>
              <w:adjustRightInd w:val="0"/>
              <w:snapToGrid w:val="0"/>
              <w:jc w:val="center"/>
              <w:rPr>
                <w:rFonts w:ascii="宋体" w:cs="宋体"/>
                <w:color w:val="000000"/>
                <w:kern w:val="0"/>
                <w:sz w:val="18"/>
                <w:szCs w:val="18"/>
              </w:rPr>
            </w:pPr>
            <w:r>
              <w:rPr>
                <w:rFonts w:hint="eastAsia" w:ascii="宋体" w:cs="宋体"/>
                <w:color w:val="000000"/>
                <w:kern w:val="0"/>
                <w:sz w:val="18"/>
                <w:szCs w:val="18"/>
              </w:rPr>
              <w:t>心叶末期</w:t>
            </w:r>
          </w:p>
          <w:p w14:paraId="2EFEEB12">
            <w:pPr>
              <w:widowControl/>
              <w:adjustRightInd w:val="0"/>
              <w:snapToGrid w:val="0"/>
              <w:jc w:val="center"/>
              <w:rPr>
                <w:rFonts w:ascii="宋体"/>
                <w:color w:val="000000"/>
                <w:kern w:val="0"/>
                <w:sz w:val="18"/>
                <w:szCs w:val="18"/>
              </w:rPr>
            </w:pPr>
            <w:r>
              <w:rPr>
                <w:rFonts w:hint="eastAsia" w:ascii="宋体" w:cs="宋体"/>
                <w:color w:val="000000"/>
                <w:kern w:val="0"/>
                <w:sz w:val="18"/>
                <w:szCs w:val="18"/>
              </w:rPr>
              <w:t>（</w:t>
            </w:r>
            <w:r>
              <w:rPr>
                <w:rFonts w:ascii="宋体" w:cs="宋体"/>
                <w:color w:val="000000"/>
                <w:kern w:val="0"/>
                <w:sz w:val="18"/>
                <w:szCs w:val="18"/>
              </w:rPr>
              <w:t>5%</w:t>
            </w:r>
            <w:r>
              <w:rPr>
                <w:rFonts w:hint="eastAsia" w:ascii="宋体" w:cs="宋体"/>
                <w:color w:val="000000"/>
                <w:kern w:val="0"/>
                <w:sz w:val="18"/>
                <w:szCs w:val="18"/>
              </w:rPr>
              <w:t>抽雄）</w:t>
            </w:r>
          </w:p>
        </w:tc>
        <w:tc>
          <w:tcPr>
            <w:tcW w:w="2260" w:type="dxa"/>
            <w:shd w:val="clear" w:color="auto" w:fill="FFFFFF" w:themeFill="background1"/>
            <w:vAlign w:val="center"/>
          </w:tcPr>
          <w:p w14:paraId="329997D9">
            <w:pPr>
              <w:widowControl/>
              <w:adjustRightInd w:val="0"/>
              <w:snapToGrid w:val="0"/>
              <w:jc w:val="center"/>
              <w:rPr>
                <w:rFonts w:ascii="宋体"/>
                <w:color w:val="000000"/>
                <w:kern w:val="0"/>
                <w:sz w:val="18"/>
                <w:szCs w:val="18"/>
              </w:rPr>
            </w:pPr>
            <w:r>
              <w:rPr>
                <w:rFonts w:hint="eastAsia" w:ascii="宋体" w:cs="宋体"/>
                <w:color w:val="000000"/>
                <w:kern w:val="0"/>
                <w:sz w:val="18"/>
                <w:szCs w:val="18"/>
              </w:rPr>
              <w:t>苏云金杆菌可湿性粉剂（16000IU/毫克）</w:t>
            </w:r>
          </w:p>
        </w:tc>
        <w:tc>
          <w:tcPr>
            <w:tcW w:w="1701" w:type="dxa"/>
            <w:shd w:val="clear" w:color="auto" w:fill="FFFFFF" w:themeFill="background1"/>
            <w:vAlign w:val="center"/>
          </w:tcPr>
          <w:p w14:paraId="36C9AC67">
            <w:pPr>
              <w:widowControl/>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50</w:t>
            </w:r>
            <w:r>
              <w:rPr>
                <w:rFonts w:ascii="宋体" w:hAnsi="宋体" w:cs="宋体"/>
                <w:color w:val="000000"/>
                <w:kern w:val="0"/>
                <w:sz w:val="18"/>
                <w:szCs w:val="18"/>
              </w:rPr>
              <w:t>g</w:t>
            </w:r>
            <w:r>
              <w:rPr>
                <w:rFonts w:hint="eastAsia" w:ascii="宋体" w:hAnsi="宋体" w:cs="宋体"/>
                <w:color w:val="000000"/>
                <w:kern w:val="0"/>
                <w:sz w:val="18"/>
                <w:szCs w:val="18"/>
              </w:rPr>
              <w:t>～100g</w:t>
            </w:r>
          </w:p>
        </w:tc>
        <w:tc>
          <w:tcPr>
            <w:tcW w:w="1142" w:type="dxa"/>
            <w:shd w:val="clear" w:color="auto" w:fill="FFFFFF" w:themeFill="background1"/>
            <w:vAlign w:val="center"/>
          </w:tcPr>
          <w:p w14:paraId="274D05E3">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加细沙灌心</w:t>
            </w:r>
          </w:p>
        </w:tc>
        <w:tc>
          <w:tcPr>
            <w:tcW w:w="1126" w:type="dxa"/>
            <w:shd w:val="clear" w:color="auto" w:fill="FFFFFF" w:themeFill="background1"/>
            <w:vAlign w:val="center"/>
          </w:tcPr>
          <w:p w14:paraId="3AFF688F">
            <w:pPr>
              <w:widowControl/>
              <w:adjustRightInd w:val="0"/>
              <w:snapToGrid w:val="0"/>
              <w:jc w:val="center"/>
              <w:rPr>
                <w:rFonts w:ascii="宋体" w:cs="宋体"/>
                <w:color w:val="000000"/>
                <w:kern w:val="0"/>
                <w:sz w:val="18"/>
                <w:szCs w:val="18"/>
              </w:rPr>
            </w:pPr>
            <w:r>
              <w:rPr>
                <w:rFonts w:hint="eastAsia" w:ascii="宋体" w:cs="宋体"/>
                <w:color w:val="000000"/>
                <w:kern w:val="0"/>
                <w:sz w:val="18"/>
                <w:szCs w:val="18"/>
              </w:rPr>
              <w:t>10</w:t>
            </w:r>
          </w:p>
        </w:tc>
      </w:tr>
      <w:tr w14:paraId="0762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39" w:type="dxa"/>
            <w:vMerge w:val="restart"/>
            <w:shd w:val="clear" w:color="auto" w:fill="FFFFFF" w:themeFill="background1"/>
            <w:vAlign w:val="center"/>
          </w:tcPr>
          <w:p w14:paraId="058F7DFC">
            <w:pPr>
              <w:widowControl/>
              <w:adjustRightInd w:val="0"/>
              <w:snapToGrid w:val="0"/>
              <w:jc w:val="center"/>
              <w:rPr>
                <w:rFonts w:ascii="宋体" w:cs="宋体"/>
                <w:color w:val="000000"/>
                <w:kern w:val="0"/>
                <w:sz w:val="18"/>
                <w:szCs w:val="18"/>
              </w:rPr>
            </w:pPr>
            <w:r>
              <w:rPr>
                <w:rFonts w:hint="eastAsia" w:ascii="宋体" w:hAnsi="宋体" w:cs="宋体"/>
                <w:sz w:val="18"/>
                <w:szCs w:val="18"/>
              </w:rPr>
              <w:t>粘虫</w:t>
            </w:r>
          </w:p>
        </w:tc>
        <w:tc>
          <w:tcPr>
            <w:tcW w:w="1555" w:type="dxa"/>
            <w:vMerge w:val="restart"/>
            <w:shd w:val="clear" w:color="auto" w:fill="FFFFFF" w:themeFill="background1"/>
            <w:vAlign w:val="center"/>
          </w:tcPr>
          <w:p w14:paraId="428B3B10">
            <w:pPr>
              <w:widowControl/>
              <w:adjustRightInd w:val="0"/>
              <w:snapToGrid w:val="0"/>
              <w:jc w:val="center"/>
              <w:rPr>
                <w:rFonts w:ascii="宋体" w:cs="宋体"/>
                <w:color w:val="000000"/>
                <w:kern w:val="0"/>
                <w:sz w:val="18"/>
                <w:szCs w:val="18"/>
              </w:rPr>
            </w:pPr>
            <w:r>
              <w:rPr>
                <w:rFonts w:hint="eastAsia" w:ascii="宋体" w:cs="宋体"/>
                <w:color w:val="000000"/>
                <w:kern w:val="0"/>
                <w:sz w:val="18"/>
                <w:szCs w:val="18"/>
              </w:rPr>
              <w:t>发生初期</w:t>
            </w:r>
          </w:p>
        </w:tc>
        <w:tc>
          <w:tcPr>
            <w:tcW w:w="2260" w:type="dxa"/>
            <w:shd w:val="clear" w:color="auto" w:fill="FFFFFF" w:themeFill="background1"/>
            <w:vAlign w:val="center"/>
          </w:tcPr>
          <w:p w14:paraId="11DD1D7B">
            <w:pPr>
              <w:widowControl/>
              <w:adjustRightInd w:val="0"/>
              <w:snapToGrid w:val="0"/>
              <w:jc w:val="center"/>
              <w:rPr>
                <w:rFonts w:ascii="宋体" w:cs="宋体"/>
                <w:color w:val="000000"/>
                <w:kern w:val="0"/>
                <w:sz w:val="18"/>
                <w:szCs w:val="18"/>
                <w:highlight w:val="yellow"/>
              </w:rPr>
            </w:pPr>
            <w:r>
              <w:rPr>
                <w:rFonts w:hint="eastAsia" w:ascii="宋体" w:hAnsi="宋体" w:cs="宋体"/>
                <w:color w:val="000000"/>
                <w:kern w:val="0"/>
                <w:sz w:val="18"/>
                <w:szCs w:val="18"/>
              </w:rPr>
              <w:t>200克/升氯虫苯甲酰胺悬浮剂</w:t>
            </w:r>
          </w:p>
        </w:tc>
        <w:tc>
          <w:tcPr>
            <w:tcW w:w="1701" w:type="dxa"/>
            <w:shd w:val="clear" w:color="auto" w:fill="FFFFFF" w:themeFill="background1"/>
            <w:vAlign w:val="center"/>
          </w:tcPr>
          <w:p w14:paraId="5C77C2CA">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10ml～15ml</w:t>
            </w:r>
          </w:p>
        </w:tc>
        <w:tc>
          <w:tcPr>
            <w:tcW w:w="1142" w:type="dxa"/>
            <w:shd w:val="clear" w:color="auto" w:fill="FFFFFF" w:themeFill="background1"/>
            <w:vAlign w:val="center"/>
          </w:tcPr>
          <w:p w14:paraId="69A65587">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7D0BC693">
            <w:pPr>
              <w:widowControl/>
              <w:adjustRightInd w:val="0"/>
              <w:snapToGrid w:val="0"/>
              <w:jc w:val="center"/>
              <w:rPr>
                <w:rFonts w:ascii="宋体" w:cs="宋体"/>
                <w:color w:val="000000"/>
                <w:kern w:val="0"/>
                <w:sz w:val="18"/>
                <w:szCs w:val="18"/>
              </w:rPr>
            </w:pPr>
            <w:r>
              <w:rPr>
                <w:rFonts w:hint="eastAsia" w:ascii="宋体" w:cs="宋体"/>
                <w:color w:val="000000"/>
                <w:kern w:val="0"/>
                <w:sz w:val="18"/>
                <w:szCs w:val="18"/>
              </w:rPr>
              <w:t>21</w:t>
            </w:r>
          </w:p>
        </w:tc>
      </w:tr>
      <w:tr w14:paraId="39DA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39" w:type="dxa"/>
            <w:vMerge w:val="continue"/>
            <w:shd w:val="clear" w:color="auto" w:fill="FFFFFF" w:themeFill="background1"/>
            <w:vAlign w:val="center"/>
          </w:tcPr>
          <w:p w14:paraId="4C51925B">
            <w:pPr>
              <w:widowControl/>
              <w:adjustRightInd w:val="0"/>
              <w:snapToGrid w:val="0"/>
              <w:jc w:val="center"/>
              <w:rPr>
                <w:rFonts w:ascii="宋体" w:cs="宋体"/>
                <w:sz w:val="18"/>
                <w:szCs w:val="18"/>
              </w:rPr>
            </w:pPr>
          </w:p>
        </w:tc>
        <w:tc>
          <w:tcPr>
            <w:tcW w:w="1555" w:type="dxa"/>
            <w:vMerge w:val="continue"/>
            <w:shd w:val="clear" w:color="auto" w:fill="FFFFFF" w:themeFill="background1"/>
            <w:vAlign w:val="center"/>
          </w:tcPr>
          <w:p w14:paraId="4CC27982">
            <w:pPr>
              <w:widowControl/>
              <w:adjustRightInd w:val="0"/>
              <w:snapToGrid w:val="0"/>
              <w:jc w:val="center"/>
              <w:rPr>
                <w:rFonts w:ascii="宋体" w:cs="宋体"/>
                <w:color w:val="000000"/>
                <w:kern w:val="0"/>
                <w:sz w:val="18"/>
                <w:szCs w:val="18"/>
              </w:rPr>
            </w:pPr>
          </w:p>
        </w:tc>
        <w:tc>
          <w:tcPr>
            <w:tcW w:w="2260" w:type="dxa"/>
            <w:shd w:val="clear" w:color="auto" w:fill="FFFFFF" w:themeFill="background1"/>
            <w:vAlign w:val="center"/>
          </w:tcPr>
          <w:p w14:paraId="29637B8B">
            <w:pPr>
              <w:widowControl/>
              <w:adjustRightInd w:val="0"/>
              <w:snapToGrid w:val="0"/>
              <w:jc w:val="center"/>
              <w:rPr>
                <w:rFonts w:ascii="宋体" w:hAnsi="宋体" w:cs="宋体"/>
                <w:color w:val="000000"/>
                <w:kern w:val="0"/>
                <w:sz w:val="18"/>
                <w:szCs w:val="18"/>
              </w:rPr>
            </w:pPr>
            <w:r>
              <w:rPr>
                <w:rFonts w:ascii="宋体" w:hAnsi="宋体" w:cs="宋体"/>
                <w:color w:val="000000"/>
                <w:kern w:val="0"/>
                <w:sz w:val="18"/>
                <w:szCs w:val="18"/>
              </w:rPr>
              <w:t>100亿孢子/克  </w:t>
            </w:r>
            <w:r>
              <w:rPr>
                <w:rFonts w:hint="eastAsia" w:ascii="宋体" w:hAnsi="宋体" w:cs="宋体"/>
                <w:color w:val="000000"/>
                <w:kern w:val="0"/>
                <w:sz w:val="18"/>
                <w:szCs w:val="18"/>
              </w:rPr>
              <w:t>球孢白僵菌可分散油悬浮剂</w:t>
            </w:r>
          </w:p>
        </w:tc>
        <w:tc>
          <w:tcPr>
            <w:tcW w:w="1701" w:type="dxa"/>
            <w:shd w:val="clear" w:color="auto" w:fill="FFFFFF" w:themeFill="background1"/>
            <w:vAlign w:val="center"/>
          </w:tcPr>
          <w:p w14:paraId="6BBC5A9C">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600ml～800ml</w:t>
            </w:r>
          </w:p>
        </w:tc>
        <w:tc>
          <w:tcPr>
            <w:tcW w:w="1142" w:type="dxa"/>
            <w:shd w:val="clear" w:color="auto" w:fill="FFFFFF" w:themeFill="background1"/>
            <w:vAlign w:val="center"/>
          </w:tcPr>
          <w:p w14:paraId="4D82C1CE">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475DA407">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3058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39" w:type="dxa"/>
            <w:vMerge w:val="restart"/>
            <w:shd w:val="clear" w:color="auto" w:fill="FFFFFF" w:themeFill="background1"/>
            <w:vAlign w:val="center"/>
          </w:tcPr>
          <w:p w14:paraId="3A4FFC64">
            <w:pPr>
              <w:widowControl/>
              <w:adjustRightInd w:val="0"/>
              <w:snapToGrid w:val="0"/>
              <w:jc w:val="center"/>
              <w:rPr>
                <w:rFonts w:ascii="宋体" w:cs="宋体"/>
                <w:color w:val="000000"/>
                <w:kern w:val="0"/>
                <w:sz w:val="18"/>
                <w:szCs w:val="18"/>
              </w:rPr>
            </w:pPr>
            <w:r>
              <w:rPr>
                <w:rFonts w:hint="eastAsia" w:ascii="宋体" w:hAnsi="宋体" w:cs="宋体"/>
                <w:sz w:val="18"/>
                <w:szCs w:val="18"/>
              </w:rPr>
              <w:t>蚜虫</w:t>
            </w:r>
          </w:p>
        </w:tc>
        <w:tc>
          <w:tcPr>
            <w:tcW w:w="1555" w:type="dxa"/>
            <w:vMerge w:val="restart"/>
            <w:shd w:val="clear" w:color="auto" w:fill="FFFFFF" w:themeFill="background1"/>
            <w:vAlign w:val="center"/>
          </w:tcPr>
          <w:p w14:paraId="44345698">
            <w:pPr>
              <w:widowControl/>
              <w:adjustRightInd w:val="0"/>
              <w:snapToGrid w:val="0"/>
              <w:jc w:val="center"/>
              <w:rPr>
                <w:rFonts w:ascii="宋体" w:hAnsi="宋体" w:cs="宋体"/>
                <w:sz w:val="18"/>
                <w:szCs w:val="18"/>
              </w:rPr>
            </w:pPr>
            <w:r>
              <w:rPr>
                <w:rFonts w:hint="eastAsia" w:ascii="宋体" w:hAnsi="宋体" w:cs="宋体"/>
                <w:sz w:val="18"/>
                <w:szCs w:val="18"/>
              </w:rPr>
              <w:t>苗期，抽雄初期</w:t>
            </w:r>
          </w:p>
        </w:tc>
        <w:tc>
          <w:tcPr>
            <w:tcW w:w="2260" w:type="dxa"/>
            <w:shd w:val="clear" w:color="auto" w:fill="FFFFFF" w:themeFill="background1"/>
            <w:vAlign w:val="center"/>
          </w:tcPr>
          <w:p w14:paraId="7E24FF1B">
            <w:pPr>
              <w:widowControl/>
              <w:adjustRightInd w:val="0"/>
              <w:snapToGrid w:val="0"/>
              <w:jc w:val="center"/>
              <w:rPr>
                <w:rFonts w:ascii="宋体" w:hAnsi="宋体" w:cs="宋体"/>
                <w:color w:val="FF0000"/>
                <w:sz w:val="18"/>
                <w:szCs w:val="18"/>
              </w:rPr>
            </w:pPr>
            <w:r>
              <w:rPr>
                <w:rFonts w:hint="eastAsia" w:ascii="宋体" w:hAnsi="宋体" w:cs="宋体"/>
                <w:sz w:val="18"/>
                <w:szCs w:val="18"/>
              </w:rPr>
              <w:t>35%噻虫嗪悬浮种衣剂</w:t>
            </w:r>
          </w:p>
        </w:tc>
        <w:tc>
          <w:tcPr>
            <w:tcW w:w="1701" w:type="dxa"/>
            <w:shd w:val="clear" w:color="auto" w:fill="FFFFFF" w:themeFill="background1"/>
            <w:vAlign w:val="center"/>
          </w:tcPr>
          <w:p w14:paraId="74BD152F">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400-600毫升/100千克种子</w:t>
            </w:r>
          </w:p>
        </w:tc>
        <w:tc>
          <w:tcPr>
            <w:tcW w:w="1142" w:type="dxa"/>
            <w:shd w:val="clear" w:color="auto" w:fill="FFFFFF" w:themeFill="background1"/>
            <w:vAlign w:val="center"/>
          </w:tcPr>
          <w:p w14:paraId="5AE3084D">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种子包衣</w:t>
            </w:r>
          </w:p>
        </w:tc>
        <w:tc>
          <w:tcPr>
            <w:tcW w:w="1126" w:type="dxa"/>
            <w:shd w:val="clear" w:color="auto" w:fill="FFFFFF" w:themeFill="background1"/>
            <w:vAlign w:val="center"/>
          </w:tcPr>
          <w:p w14:paraId="55E693F5">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1B47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9" w:hRule="atLeast"/>
          <w:jc w:val="center"/>
        </w:trPr>
        <w:tc>
          <w:tcPr>
            <w:tcW w:w="2039" w:type="dxa"/>
            <w:vMerge w:val="continue"/>
            <w:shd w:val="clear" w:color="auto" w:fill="FFFFFF" w:themeFill="background1"/>
            <w:vAlign w:val="center"/>
          </w:tcPr>
          <w:p w14:paraId="3BFDA598">
            <w:pPr>
              <w:widowControl/>
              <w:adjustRightInd w:val="0"/>
              <w:snapToGrid w:val="0"/>
              <w:jc w:val="center"/>
              <w:rPr>
                <w:rFonts w:ascii="宋体" w:cs="宋体"/>
                <w:sz w:val="18"/>
                <w:szCs w:val="18"/>
              </w:rPr>
            </w:pPr>
          </w:p>
        </w:tc>
        <w:tc>
          <w:tcPr>
            <w:tcW w:w="1555" w:type="dxa"/>
            <w:vMerge w:val="continue"/>
            <w:shd w:val="clear" w:color="auto" w:fill="FFFFFF" w:themeFill="background1"/>
            <w:vAlign w:val="center"/>
          </w:tcPr>
          <w:p w14:paraId="0DC6AAE8">
            <w:pPr>
              <w:widowControl/>
              <w:adjustRightInd w:val="0"/>
              <w:snapToGrid w:val="0"/>
              <w:jc w:val="center"/>
              <w:rPr>
                <w:rFonts w:ascii="宋体" w:hAnsi="宋体" w:cs="宋体"/>
                <w:sz w:val="18"/>
                <w:szCs w:val="18"/>
              </w:rPr>
            </w:pPr>
          </w:p>
        </w:tc>
        <w:tc>
          <w:tcPr>
            <w:tcW w:w="2260" w:type="dxa"/>
            <w:shd w:val="clear" w:color="auto" w:fill="FFFFFF" w:themeFill="background1"/>
            <w:vAlign w:val="center"/>
          </w:tcPr>
          <w:p w14:paraId="71A98494">
            <w:pPr>
              <w:widowControl/>
              <w:adjustRightInd w:val="0"/>
              <w:snapToGrid w:val="0"/>
              <w:jc w:val="center"/>
              <w:rPr>
                <w:rFonts w:ascii="宋体" w:hAnsi="宋体" w:cs="宋体"/>
                <w:sz w:val="18"/>
                <w:szCs w:val="18"/>
              </w:rPr>
            </w:pPr>
            <w:r>
              <w:rPr>
                <w:rFonts w:hint="eastAsia" w:ascii="宋体" w:hAnsi="宋体" w:cs="宋体"/>
                <w:sz w:val="18"/>
                <w:szCs w:val="18"/>
              </w:rPr>
              <w:t>600克/升吡虫啉悬浮种衣剂</w:t>
            </w:r>
          </w:p>
        </w:tc>
        <w:tc>
          <w:tcPr>
            <w:tcW w:w="1701" w:type="dxa"/>
            <w:shd w:val="clear" w:color="auto" w:fill="FFFFFF" w:themeFill="background1"/>
            <w:vAlign w:val="center"/>
          </w:tcPr>
          <w:p w14:paraId="3DD1A258">
            <w:pPr>
              <w:jc w:val="center"/>
              <w:rPr>
                <w:rFonts w:ascii="宋体" w:hAnsi="宋体" w:cs="宋体"/>
                <w:color w:val="000000"/>
                <w:kern w:val="0"/>
                <w:sz w:val="18"/>
                <w:szCs w:val="18"/>
              </w:rPr>
            </w:pPr>
            <w:r>
              <w:rPr>
                <w:rFonts w:ascii="宋体" w:hAnsi="宋体" w:cs="宋体"/>
                <w:color w:val="000000"/>
                <w:kern w:val="0"/>
                <w:sz w:val="18"/>
                <w:szCs w:val="18"/>
              </w:rPr>
              <w:t>800-1000克/100千克种子</w:t>
            </w:r>
          </w:p>
        </w:tc>
        <w:tc>
          <w:tcPr>
            <w:tcW w:w="1142" w:type="dxa"/>
            <w:shd w:val="clear" w:color="auto" w:fill="FFFFFF" w:themeFill="background1"/>
            <w:vAlign w:val="center"/>
          </w:tcPr>
          <w:p w14:paraId="78E7BEE4">
            <w:pPr>
              <w:widowControl/>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种子包衣</w:t>
            </w:r>
          </w:p>
        </w:tc>
        <w:tc>
          <w:tcPr>
            <w:tcW w:w="1126" w:type="dxa"/>
            <w:shd w:val="clear" w:color="auto" w:fill="FFFFFF" w:themeFill="background1"/>
            <w:vAlign w:val="center"/>
          </w:tcPr>
          <w:p w14:paraId="1852FAEA">
            <w:pPr>
              <w:widowControl/>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r>
      <w:tr w14:paraId="38A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3" w:hRule="atLeast"/>
          <w:jc w:val="center"/>
        </w:trPr>
        <w:tc>
          <w:tcPr>
            <w:tcW w:w="2039" w:type="dxa"/>
            <w:vMerge w:val="restart"/>
            <w:shd w:val="clear" w:color="auto" w:fill="FFFFFF" w:themeFill="background1"/>
            <w:vAlign w:val="center"/>
          </w:tcPr>
          <w:p w14:paraId="763BFEA9">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大小斑病</w:t>
            </w:r>
          </w:p>
        </w:tc>
        <w:tc>
          <w:tcPr>
            <w:tcW w:w="1555" w:type="dxa"/>
            <w:vMerge w:val="restart"/>
            <w:shd w:val="clear" w:color="auto" w:fill="FFFFFF" w:themeFill="background1"/>
            <w:vAlign w:val="center"/>
          </w:tcPr>
          <w:p w14:paraId="6859E0F7">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心叶末期到抽雄期</w:t>
            </w:r>
          </w:p>
        </w:tc>
        <w:tc>
          <w:tcPr>
            <w:tcW w:w="2260" w:type="dxa"/>
            <w:shd w:val="clear" w:color="auto" w:fill="FFFFFF" w:themeFill="background1"/>
            <w:vAlign w:val="center"/>
          </w:tcPr>
          <w:p w14:paraId="234D21B4">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17％吡唑醚菌酯·氟环唑悬乳剂</w:t>
            </w:r>
          </w:p>
        </w:tc>
        <w:tc>
          <w:tcPr>
            <w:tcW w:w="1701" w:type="dxa"/>
            <w:shd w:val="clear" w:color="auto" w:fill="FFFFFF" w:themeFill="background1"/>
            <w:vAlign w:val="center"/>
          </w:tcPr>
          <w:p w14:paraId="214ACED8">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40ml～60 ml</w:t>
            </w:r>
          </w:p>
        </w:tc>
        <w:tc>
          <w:tcPr>
            <w:tcW w:w="1142" w:type="dxa"/>
            <w:shd w:val="clear" w:color="auto" w:fill="FFFFFF" w:themeFill="background1"/>
            <w:vAlign w:val="center"/>
          </w:tcPr>
          <w:p w14:paraId="469918A8">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282D6854">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14</w:t>
            </w:r>
          </w:p>
        </w:tc>
      </w:tr>
      <w:tr w14:paraId="206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039" w:type="dxa"/>
            <w:vMerge w:val="continue"/>
            <w:shd w:val="clear" w:color="auto" w:fill="FFFFFF" w:themeFill="background1"/>
            <w:vAlign w:val="center"/>
          </w:tcPr>
          <w:p w14:paraId="3F4157B2">
            <w:pPr>
              <w:widowControl/>
              <w:adjustRightInd w:val="0"/>
              <w:snapToGrid w:val="0"/>
              <w:jc w:val="center"/>
              <w:rPr>
                <w:rFonts w:ascii="宋体" w:hAnsi="宋体" w:cs="宋体"/>
                <w:color w:val="000000"/>
                <w:kern w:val="0"/>
                <w:sz w:val="18"/>
                <w:szCs w:val="18"/>
              </w:rPr>
            </w:pPr>
          </w:p>
        </w:tc>
        <w:tc>
          <w:tcPr>
            <w:tcW w:w="1555" w:type="dxa"/>
            <w:vMerge w:val="continue"/>
            <w:shd w:val="clear" w:color="auto" w:fill="FFFFFF" w:themeFill="background1"/>
            <w:vAlign w:val="center"/>
          </w:tcPr>
          <w:p w14:paraId="76C08710">
            <w:pPr>
              <w:widowControl/>
              <w:adjustRightInd w:val="0"/>
              <w:snapToGrid w:val="0"/>
              <w:jc w:val="center"/>
              <w:rPr>
                <w:rFonts w:ascii="宋体" w:hAnsi="宋体" w:cs="宋体"/>
                <w:color w:val="000000"/>
                <w:kern w:val="0"/>
                <w:sz w:val="18"/>
                <w:szCs w:val="18"/>
              </w:rPr>
            </w:pPr>
          </w:p>
        </w:tc>
        <w:tc>
          <w:tcPr>
            <w:tcW w:w="2260" w:type="dxa"/>
            <w:shd w:val="clear" w:color="auto" w:fill="FFFFFF" w:themeFill="background1"/>
            <w:vAlign w:val="center"/>
          </w:tcPr>
          <w:p w14:paraId="29D5176A">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18.7%丙环唑·嘧菌酯乳油</w:t>
            </w:r>
          </w:p>
        </w:tc>
        <w:tc>
          <w:tcPr>
            <w:tcW w:w="1701" w:type="dxa"/>
            <w:shd w:val="clear" w:color="auto" w:fill="FFFFFF" w:themeFill="background1"/>
            <w:vAlign w:val="center"/>
          </w:tcPr>
          <w:p w14:paraId="73F39E90">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50ml～70ml</w:t>
            </w:r>
          </w:p>
        </w:tc>
        <w:tc>
          <w:tcPr>
            <w:tcW w:w="1142" w:type="dxa"/>
            <w:shd w:val="clear" w:color="auto" w:fill="FFFFFF" w:themeFill="background1"/>
            <w:vAlign w:val="center"/>
          </w:tcPr>
          <w:p w14:paraId="27273DE0">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6090A413">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14:paraId="1AE3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039" w:type="dxa"/>
            <w:shd w:val="clear" w:color="auto" w:fill="FFFFFF" w:themeFill="background1"/>
            <w:vAlign w:val="center"/>
          </w:tcPr>
          <w:p w14:paraId="23E2297C">
            <w:pPr>
              <w:widowControl/>
              <w:adjustRightInd w:val="0"/>
              <w:snapToGrid w:val="0"/>
              <w:jc w:val="center"/>
              <w:rPr>
                <w:rFonts w:ascii="宋体" w:cs="宋体"/>
                <w:color w:val="000000"/>
                <w:kern w:val="0"/>
                <w:sz w:val="18"/>
                <w:szCs w:val="18"/>
              </w:rPr>
            </w:pPr>
            <w:r>
              <w:rPr>
                <w:rFonts w:hint="eastAsia" w:ascii="宋体" w:hAnsi="宋体" w:cs="宋体"/>
                <w:sz w:val="18"/>
                <w:szCs w:val="18"/>
              </w:rPr>
              <w:t>一年生杂草</w:t>
            </w:r>
          </w:p>
        </w:tc>
        <w:tc>
          <w:tcPr>
            <w:tcW w:w="1555" w:type="dxa"/>
            <w:shd w:val="clear" w:color="auto" w:fill="FFFFFF" w:themeFill="background1"/>
            <w:vAlign w:val="center"/>
          </w:tcPr>
          <w:p w14:paraId="32C0FA01">
            <w:pPr>
              <w:widowControl/>
              <w:adjustRightInd w:val="0"/>
              <w:snapToGrid w:val="0"/>
              <w:jc w:val="center"/>
              <w:rPr>
                <w:rFonts w:ascii="宋体"/>
                <w:color w:val="000000"/>
                <w:kern w:val="0"/>
                <w:sz w:val="18"/>
                <w:szCs w:val="18"/>
              </w:rPr>
            </w:pPr>
            <w:r>
              <w:rPr>
                <w:rFonts w:hint="eastAsia" w:ascii="宋体" w:hAnsi="宋体" w:cs="宋体"/>
                <w:sz w:val="18"/>
                <w:szCs w:val="18"/>
              </w:rPr>
              <w:t>苗前</w:t>
            </w:r>
          </w:p>
        </w:tc>
        <w:tc>
          <w:tcPr>
            <w:tcW w:w="2260" w:type="dxa"/>
            <w:shd w:val="clear" w:color="auto" w:fill="FFFFFF" w:themeFill="background1"/>
            <w:vAlign w:val="center"/>
          </w:tcPr>
          <w:p w14:paraId="48E1F324">
            <w:pPr>
              <w:widowControl/>
              <w:adjustRightInd w:val="0"/>
              <w:snapToGrid w:val="0"/>
              <w:jc w:val="center"/>
              <w:rPr>
                <w:rFonts w:ascii="宋体" w:cs="宋体"/>
                <w:color w:val="000000"/>
                <w:kern w:val="0"/>
                <w:sz w:val="18"/>
                <w:szCs w:val="18"/>
              </w:rPr>
            </w:pPr>
            <w:r>
              <w:rPr>
                <w:rFonts w:hint="eastAsia" w:ascii="宋体" w:hAnsi="宋体" w:cs="宋体"/>
                <w:sz w:val="18"/>
                <w:szCs w:val="18"/>
              </w:rPr>
              <w:t>960克/升精异丙甲草胺乳剂</w:t>
            </w:r>
          </w:p>
        </w:tc>
        <w:tc>
          <w:tcPr>
            <w:tcW w:w="1701" w:type="dxa"/>
            <w:shd w:val="clear" w:color="auto" w:fill="FFFFFF" w:themeFill="background1"/>
            <w:vAlign w:val="center"/>
          </w:tcPr>
          <w:p w14:paraId="5FB66389">
            <w:pPr>
              <w:adjustRightInd w:val="0"/>
              <w:snapToGrid w:val="0"/>
              <w:rPr>
                <w:rFonts w:ascii="宋体" w:cs="宋体"/>
                <w:color w:val="000000"/>
                <w:kern w:val="0"/>
                <w:sz w:val="18"/>
                <w:szCs w:val="18"/>
              </w:rPr>
            </w:pPr>
            <w:r>
              <w:rPr>
                <w:rFonts w:hint="eastAsia" w:ascii="宋体" w:cs="宋体"/>
                <w:color w:val="000000"/>
                <w:kern w:val="0"/>
                <w:sz w:val="18"/>
                <w:szCs w:val="18"/>
              </w:rPr>
              <w:t>50 g ～85 g</w:t>
            </w:r>
          </w:p>
        </w:tc>
        <w:tc>
          <w:tcPr>
            <w:tcW w:w="1142" w:type="dxa"/>
            <w:shd w:val="clear" w:color="auto" w:fill="FFFFFF" w:themeFill="background1"/>
            <w:vAlign w:val="center"/>
          </w:tcPr>
          <w:p w14:paraId="46513A76">
            <w:pPr>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0D07A5CA">
            <w:pPr>
              <w:adjustRightInd w:val="0"/>
              <w:snapToGrid w:val="0"/>
              <w:jc w:val="center"/>
              <w:rPr>
                <w:rFonts w:ascii="宋体" w:cs="宋体"/>
                <w:color w:val="000000"/>
                <w:kern w:val="0"/>
                <w:sz w:val="18"/>
                <w:szCs w:val="18"/>
              </w:rPr>
            </w:pPr>
            <w:r>
              <w:rPr>
                <w:rFonts w:hint="eastAsia" w:ascii="宋体" w:cs="宋体"/>
                <w:color w:val="000000"/>
                <w:kern w:val="0"/>
                <w:sz w:val="18"/>
                <w:szCs w:val="18"/>
              </w:rPr>
              <w:t>35</w:t>
            </w:r>
          </w:p>
        </w:tc>
      </w:tr>
      <w:tr w14:paraId="68EF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39" w:type="dxa"/>
            <w:shd w:val="clear" w:color="auto" w:fill="FFFFFF" w:themeFill="background1"/>
            <w:vAlign w:val="center"/>
          </w:tcPr>
          <w:p w14:paraId="43A10B7C">
            <w:pPr>
              <w:widowControl/>
              <w:adjustRightInd w:val="0"/>
              <w:snapToGrid w:val="0"/>
              <w:jc w:val="center"/>
              <w:rPr>
                <w:rFonts w:ascii="宋体" w:cs="宋体"/>
                <w:color w:val="000000"/>
                <w:kern w:val="0"/>
                <w:sz w:val="18"/>
                <w:szCs w:val="18"/>
              </w:rPr>
            </w:pPr>
            <w:r>
              <w:rPr>
                <w:rFonts w:hint="eastAsia" w:ascii="宋体" w:hAnsi="宋体" w:cs="宋体"/>
                <w:sz w:val="18"/>
                <w:szCs w:val="18"/>
              </w:rPr>
              <w:t>杂草</w:t>
            </w:r>
          </w:p>
        </w:tc>
        <w:tc>
          <w:tcPr>
            <w:tcW w:w="1555" w:type="dxa"/>
            <w:shd w:val="clear" w:color="auto" w:fill="FFFFFF" w:themeFill="background1"/>
            <w:vAlign w:val="center"/>
          </w:tcPr>
          <w:p w14:paraId="4EF40F97">
            <w:pPr>
              <w:widowControl/>
              <w:adjustRightInd w:val="0"/>
              <w:snapToGrid w:val="0"/>
              <w:jc w:val="center"/>
              <w:rPr>
                <w:rFonts w:ascii="宋体"/>
                <w:color w:val="000000"/>
                <w:kern w:val="0"/>
                <w:sz w:val="18"/>
                <w:szCs w:val="18"/>
              </w:rPr>
            </w:pPr>
            <w:r>
              <w:rPr>
                <w:rFonts w:hint="eastAsia" w:ascii="宋体" w:hAnsi="宋体" w:cs="宋体"/>
                <w:sz w:val="18"/>
                <w:szCs w:val="18"/>
              </w:rPr>
              <w:t>苗后</w:t>
            </w:r>
          </w:p>
        </w:tc>
        <w:tc>
          <w:tcPr>
            <w:tcW w:w="2260" w:type="dxa"/>
            <w:shd w:val="clear" w:color="auto" w:fill="FFFFFF" w:themeFill="background1"/>
            <w:vAlign w:val="center"/>
          </w:tcPr>
          <w:p w14:paraId="08D61D83">
            <w:pPr>
              <w:widowControl/>
              <w:adjustRightInd w:val="0"/>
              <w:snapToGrid w:val="0"/>
              <w:jc w:val="center"/>
              <w:rPr>
                <w:rFonts w:ascii="宋体"/>
                <w:color w:val="000000"/>
                <w:kern w:val="0"/>
                <w:sz w:val="18"/>
                <w:szCs w:val="18"/>
              </w:rPr>
            </w:pPr>
            <w:r>
              <w:rPr>
                <w:rFonts w:ascii="宋体" w:hAnsi="宋体" w:cs="宋体"/>
                <w:color w:val="000000"/>
                <w:kern w:val="0"/>
                <w:sz w:val="18"/>
                <w:szCs w:val="18"/>
              </w:rPr>
              <w:t>20%</w:t>
            </w:r>
            <w:r>
              <w:rPr>
                <w:rFonts w:hint="eastAsia" w:ascii="宋体" w:hAnsi="宋体" w:cs="宋体"/>
                <w:sz w:val="18"/>
                <w:szCs w:val="18"/>
              </w:rPr>
              <w:t>硝磺草酮可分散油悬浮剂</w:t>
            </w:r>
          </w:p>
        </w:tc>
        <w:tc>
          <w:tcPr>
            <w:tcW w:w="1701" w:type="dxa"/>
            <w:shd w:val="clear" w:color="auto" w:fill="FFFFFF" w:themeFill="background1"/>
            <w:vAlign w:val="center"/>
          </w:tcPr>
          <w:p w14:paraId="2C0377EA">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 xml:space="preserve">42.5 </w:t>
            </w:r>
            <w:r>
              <w:rPr>
                <w:rFonts w:ascii="宋体" w:hAnsi="宋体" w:cs="宋体"/>
                <w:color w:val="000000"/>
                <w:kern w:val="0"/>
                <w:sz w:val="18"/>
                <w:szCs w:val="18"/>
              </w:rPr>
              <w:t>ml</w:t>
            </w:r>
            <w:r>
              <w:rPr>
                <w:rFonts w:hint="eastAsia" w:ascii="宋体" w:hAnsi="宋体" w:cs="宋体"/>
                <w:color w:val="000000"/>
                <w:kern w:val="0"/>
                <w:sz w:val="18"/>
                <w:szCs w:val="18"/>
              </w:rPr>
              <w:t xml:space="preserve">～50 </w:t>
            </w:r>
            <w:r>
              <w:rPr>
                <w:rFonts w:ascii="宋体" w:hAnsi="宋体" w:cs="宋体"/>
                <w:color w:val="000000"/>
                <w:kern w:val="0"/>
                <w:sz w:val="18"/>
                <w:szCs w:val="18"/>
              </w:rPr>
              <w:t>ml</w:t>
            </w:r>
          </w:p>
        </w:tc>
        <w:tc>
          <w:tcPr>
            <w:tcW w:w="1142" w:type="dxa"/>
            <w:shd w:val="clear" w:color="auto" w:fill="FFFFFF" w:themeFill="background1"/>
            <w:vAlign w:val="center"/>
          </w:tcPr>
          <w:p w14:paraId="037CAC05">
            <w:pPr>
              <w:widowControl/>
              <w:adjustRightInd w:val="0"/>
              <w:snapToGrid w:val="0"/>
              <w:jc w:val="center"/>
              <w:rPr>
                <w:rFonts w:ascii="宋体"/>
                <w:color w:val="000000"/>
                <w:kern w:val="0"/>
                <w:sz w:val="18"/>
                <w:szCs w:val="18"/>
              </w:rPr>
            </w:pPr>
            <w:r>
              <w:rPr>
                <w:rFonts w:hint="eastAsia" w:ascii="宋体" w:hAnsi="宋体" w:cs="宋体"/>
                <w:color w:val="000000"/>
                <w:kern w:val="0"/>
                <w:sz w:val="18"/>
                <w:szCs w:val="18"/>
              </w:rPr>
              <w:t>喷雾</w:t>
            </w:r>
          </w:p>
        </w:tc>
        <w:tc>
          <w:tcPr>
            <w:tcW w:w="1126" w:type="dxa"/>
            <w:shd w:val="clear" w:color="auto" w:fill="FFFFFF" w:themeFill="background1"/>
            <w:vAlign w:val="center"/>
          </w:tcPr>
          <w:p w14:paraId="72CBC3ED">
            <w:pPr>
              <w:widowControl/>
              <w:adjustRightInd w:val="0"/>
              <w:snapToGrid w:val="0"/>
              <w:jc w:val="center"/>
              <w:rPr>
                <w:rFonts w:ascii="宋体"/>
                <w:color w:val="000000"/>
                <w:kern w:val="0"/>
                <w:sz w:val="18"/>
                <w:szCs w:val="18"/>
              </w:rPr>
            </w:pPr>
            <w:r>
              <w:rPr>
                <w:rFonts w:hint="eastAsia" w:ascii="宋体"/>
                <w:color w:val="000000"/>
                <w:kern w:val="0"/>
                <w:sz w:val="18"/>
                <w:szCs w:val="18"/>
              </w:rPr>
              <w:t>15</w:t>
            </w:r>
          </w:p>
        </w:tc>
      </w:tr>
      <w:tr w14:paraId="5C5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3" w:type="dxa"/>
            <w:gridSpan w:val="6"/>
            <w:shd w:val="clear" w:color="auto" w:fill="FFFFFF" w:themeFill="background1"/>
            <w:vAlign w:val="center"/>
          </w:tcPr>
          <w:p w14:paraId="7E9487B3">
            <w:pPr>
              <w:rPr>
                <w:rFonts w:ascii="宋体"/>
                <w:color w:val="000000"/>
                <w:kern w:val="0"/>
                <w:sz w:val="18"/>
                <w:szCs w:val="18"/>
              </w:rPr>
            </w:pPr>
            <w:r>
              <w:rPr>
                <w:rFonts w:hint="eastAsia" w:ascii="黑体" w:hAnsi="黑体" w:eastAsia="黑体" w:cs="黑体"/>
                <w:color w:val="000000"/>
                <w:kern w:val="0"/>
                <w:sz w:val="18"/>
                <w:szCs w:val="18"/>
              </w:rPr>
              <w:t>注：</w:t>
            </w:r>
            <w:r>
              <w:rPr>
                <w:rFonts w:hint="eastAsia" w:ascii="宋体" w:hAnsi="宋体" w:cs="宋体"/>
                <w:color w:val="000000"/>
                <w:kern w:val="0"/>
                <w:sz w:val="18"/>
                <w:szCs w:val="18"/>
              </w:rPr>
              <w:t>农药使用以最新版本</w:t>
            </w:r>
            <w:r>
              <w:rPr>
                <w:rFonts w:ascii="宋体" w:hAnsi="宋体" w:cs="宋体"/>
                <w:color w:val="000000"/>
                <w:kern w:val="0"/>
                <w:sz w:val="18"/>
                <w:szCs w:val="18"/>
              </w:rPr>
              <w:t>NY/T</w:t>
            </w:r>
            <w:r>
              <w:rPr>
                <w:rFonts w:hint="eastAsia" w:ascii="宋体" w:hAnsi="宋体" w:cs="宋体"/>
                <w:color w:val="000000"/>
                <w:kern w:val="0"/>
                <w:sz w:val="18"/>
                <w:szCs w:val="18"/>
              </w:rPr>
              <w:t xml:space="preserve"> </w:t>
            </w:r>
            <w:r>
              <w:rPr>
                <w:rFonts w:ascii="宋体" w:hAnsi="宋体" w:cs="宋体"/>
                <w:color w:val="000000"/>
                <w:kern w:val="0"/>
                <w:sz w:val="18"/>
                <w:szCs w:val="18"/>
              </w:rPr>
              <w:t>393</w:t>
            </w:r>
            <w:r>
              <w:rPr>
                <w:rFonts w:hint="eastAsia" w:ascii="宋体" w:hAnsi="宋体" w:cs="宋体"/>
                <w:color w:val="000000"/>
                <w:kern w:val="0"/>
                <w:sz w:val="18"/>
                <w:szCs w:val="18"/>
              </w:rPr>
              <w:t>的规定为准。</w:t>
            </w:r>
          </w:p>
        </w:tc>
      </w:tr>
    </w:tbl>
    <w:p w14:paraId="2ECBC4F0">
      <w:pPr>
        <w:rPr>
          <w:rFonts w:ascii="仿宋" w:hAnsi="仿宋" w:eastAsia="仿宋"/>
          <w:sz w:val="30"/>
          <w:szCs w:val="30"/>
        </w:rPr>
      </w:pPr>
    </w:p>
    <w:p w14:paraId="547D8C3D">
      <w:pPr>
        <w:jc w:val="left"/>
        <w:rPr>
          <w:rFonts w:ascii="Times New Roman" w:hAnsi="Times New Roman" w:eastAsia="黑体" w:cs="Times New Roman"/>
          <w:color w:val="FF0000"/>
          <w:sz w:val="18"/>
          <w:szCs w:val="18"/>
        </w:rPr>
      </w:pPr>
    </w:p>
    <w:p w14:paraId="34AA30B3">
      <w:pPr>
        <w:jc w:val="left"/>
        <w:rPr>
          <w:rFonts w:ascii="Times New Roman" w:hAnsi="Times New Roman" w:eastAsia="黑体" w:cs="Times New Roman"/>
          <w:color w:val="FF0000"/>
          <w:sz w:val="18"/>
          <w:szCs w:val="18"/>
        </w:rPr>
      </w:pPr>
    </w:p>
    <w:p w14:paraId="0EAFDD64">
      <w:pPr>
        <w:jc w:val="left"/>
        <w:rPr>
          <w:rFonts w:ascii="Times New Roman" w:hAnsi="Times New Roman" w:eastAsia="黑体" w:cs="Times New Roman"/>
          <w:color w:val="FF0000"/>
          <w:sz w:val="18"/>
          <w:szCs w:val="18"/>
        </w:rPr>
      </w:pPr>
    </w:p>
    <w:p w14:paraId="527653BA">
      <w:pPr>
        <w:widowControl/>
        <w:jc w:val="left"/>
        <w:rPr>
          <w:rFonts w:ascii="宋体" w:hAnsi="宋体" w:eastAsia="宋体" w:cs="宋体"/>
          <w:kern w:val="0"/>
          <w:sz w:val="24"/>
          <w:szCs w:val="24"/>
        </w:rPr>
      </w:pPr>
    </w:p>
    <w:p w14:paraId="4B060E7F">
      <w:pPr>
        <w:jc w:val="center"/>
        <w:rPr>
          <w:rFonts w:ascii="黑体" w:hAnsi="黑体" w:eastAsia="黑体"/>
          <w:sz w:val="24"/>
          <w:szCs w:val="24"/>
        </w:rPr>
      </w:pPr>
      <w:r>
        <w:rPr>
          <w:rFonts w:hint="eastAsia" w:ascii="黑体" w:hAnsi="黑体" w:eastAsia="黑体"/>
          <w:sz w:val="24"/>
          <w:szCs w:val="24"/>
        </w:rPr>
        <w:t>附 录B</w:t>
      </w:r>
    </w:p>
    <w:p w14:paraId="343F7075">
      <w:pPr>
        <w:jc w:val="center"/>
        <w:rPr>
          <w:rFonts w:ascii="黑体" w:hAnsi="黑体" w:eastAsia="黑体"/>
          <w:sz w:val="24"/>
          <w:szCs w:val="24"/>
        </w:rPr>
      </w:pPr>
      <w:r>
        <w:rPr>
          <w:rFonts w:hint="eastAsia" w:ascii="黑体" w:hAnsi="黑体" w:eastAsia="黑体"/>
          <w:sz w:val="24"/>
          <w:szCs w:val="24"/>
        </w:rPr>
        <w:t>（资料性附录）</w:t>
      </w:r>
    </w:p>
    <w:p w14:paraId="7D7A61CF">
      <w:pPr>
        <w:jc w:val="center"/>
        <w:rPr>
          <w:rFonts w:ascii="黑体" w:hAnsi="黑体" w:eastAsia="黑体"/>
          <w:sz w:val="24"/>
          <w:szCs w:val="24"/>
        </w:rPr>
      </w:pPr>
      <w:r>
        <w:rPr>
          <w:rFonts w:hint="eastAsia" w:ascii="黑体" w:hAnsi="黑体" w:eastAsia="黑体"/>
          <w:sz w:val="24"/>
          <w:szCs w:val="24"/>
        </w:rPr>
        <w:t>团体标准修改单</w:t>
      </w:r>
    </w:p>
    <w:p w14:paraId="67431626">
      <w:pPr>
        <w:spacing w:before="240"/>
        <w:jc w:val="center"/>
        <w:rPr>
          <w:rFonts w:ascii="黑体" w:hAnsi="黑体" w:eastAsia="黑体"/>
          <w:sz w:val="24"/>
          <w:szCs w:val="24"/>
        </w:rPr>
      </w:pPr>
      <w:r>
        <w:rPr>
          <w:rFonts w:hint="eastAsia" w:ascii="黑体" w:hAnsi="黑体" w:eastAsia="黑体"/>
          <w:sz w:val="24"/>
          <w:szCs w:val="24"/>
        </w:rPr>
        <w:t>绿色食品 南方丘陵地区鲜食玉米生产操作规程</w:t>
      </w:r>
    </w:p>
    <w:p w14:paraId="6B9BAB71">
      <w:pPr>
        <w:jc w:val="center"/>
        <w:rPr>
          <w:rFonts w:ascii="黑体" w:hAnsi="黑体" w:eastAsia="黑体"/>
          <w:sz w:val="24"/>
          <w:szCs w:val="24"/>
        </w:rPr>
      </w:pPr>
      <w:r>
        <w:rPr>
          <w:rFonts w:hint="eastAsia" w:ascii="黑体" w:hAnsi="黑体" w:eastAsia="黑体"/>
          <w:sz w:val="24"/>
          <w:szCs w:val="24"/>
        </w:rPr>
        <w:t>第XX号修改单</w:t>
      </w:r>
    </w:p>
    <w:p w14:paraId="7106D47E">
      <w:pPr>
        <w:jc w:val="center"/>
        <w:rPr>
          <w:rFonts w:ascii="黑体" w:hAnsi="黑体" w:eastAsia="黑体"/>
          <w:sz w:val="24"/>
          <w:szCs w:val="24"/>
        </w:rPr>
      </w:pPr>
    </w:p>
    <w:p w14:paraId="2CB755BA">
      <w:pPr>
        <w:widowControl/>
        <w:ind w:firstLine="400" w:firstLineChars="200"/>
        <w:jc w:val="left"/>
      </w:pPr>
      <w:r>
        <w:rPr>
          <w:rFonts w:hint="eastAsia" w:ascii="宋体" w:hAnsi="宋体" w:eastAsia="宋体" w:cs="宋体"/>
          <w:kern w:val="0"/>
          <w:sz w:val="20"/>
          <w:szCs w:val="20"/>
        </w:rPr>
        <w:t xml:space="preserve">本修改单经中国绿色食品协会于××××年××月××日批准，自××××年×× </w:t>
      </w:r>
    </w:p>
    <w:p w14:paraId="4AC3487A">
      <w:pPr>
        <w:widowControl/>
        <w:jc w:val="left"/>
      </w:pPr>
      <w:r>
        <w:rPr>
          <w:rFonts w:hint="eastAsia" w:ascii="宋体" w:hAnsi="宋体" w:eastAsia="宋体" w:cs="宋体"/>
          <w:kern w:val="0"/>
          <w:sz w:val="20"/>
          <w:szCs w:val="20"/>
        </w:rPr>
        <w:t xml:space="preserve">月××日起实施。 </w:t>
      </w:r>
    </w:p>
    <w:p w14:paraId="25EFC7B1">
      <w:pPr>
        <w:widowControl/>
        <w:jc w:val="left"/>
        <w:rPr>
          <w:rFonts w:ascii="宋体" w:hAnsi="宋体" w:eastAsia="宋体" w:cs="宋体"/>
          <w:szCs w:val="21"/>
        </w:rPr>
      </w:pPr>
    </w:p>
    <w:p w14:paraId="41BF5FD5">
      <w:pPr>
        <w:widowControl/>
        <w:numPr>
          <w:ilvl w:val="255"/>
          <w:numId w:val="0"/>
        </w:numPr>
        <w:jc w:val="left"/>
        <w:rPr>
          <w:rFonts w:ascii="宋体" w:hAnsi="宋体" w:eastAsia="宋体" w:cs="宋体"/>
          <w:szCs w:val="21"/>
        </w:rPr>
      </w:pPr>
      <w:r>
        <w:rPr>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532003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2pt;margin-top:10.9pt;height:0pt;width:418.9pt;z-index:251659264;mso-width-relative:page;mso-height-relative:page;" filled="f" stroked="t" coordsize="21600,21600" o:gfxdata="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wF5F1gAA&#10;AAcBAAAPAAAAAAAAAAEAIAAAACIAAABkcnMvZG93bnJldi54bWxQSwECFAAUAAAACACHTuJAONSQ&#10;+ecBAADAAwAADgAAAAAAAAABACAAAAAlAQAAZHJzL2Uyb0RvYy54bWxQSwUGAAAAAAYABgBZAQAA&#10;fgUAAAAA&#10;">
                <v:fill on="f" focussize="0,0"/>
                <v:stroke weight="1pt" color="#000000" miterlimit="8" joinstyle="miter"/>
                <v:imagedata o:title=""/>
                <o:lock v:ext="edit" aspectratio="f"/>
              </v:line>
            </w:pict>
          </mc:Fallback>
        </mc:AlternateContent>
      </w: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252BF-F2AE-4195-9897-E0439754F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88210E37-3222-4F0D-9F82-3C8B7078648D}"/>
  </w:font>
  <w:font w:name="Segoe UI">
    <w:panose1 w:val="020B0502040204020203"/>
    <w:charset w:val="00"/>
    <w:family w:val="swiss"/>
    <w:pitch w:val="default"/>
    <w:sig w:usb0="E4002EFF" w:usb1="C000E47F" w:usb2="00000009" w:usb3="00000000" w:csb0="200001FF" w:csb1="00000000"/>
    <w:embedRegular r:id="rId3" w:fontKey="{2DD3939D-F43C-4247-93B3-1B3C2163A00F}"/>
  </w:font>
  <w:font w:name="楷体">
    <w:panose1 w:val="02010609060101010101"/>
    <w:charset w:val="86"/>
    <w:family w:val="modern"/>
    <w:pitch w:val="default"/>
    <w:sig w:usb0="800002BF" w:usb1="38CF7CFA" w:usb2="00000016" w:usb3="00000000" w:csb0="00040001" w:csb1="00000000"/>
    <w:embedRegular r:id="rId4" w:fontKey="{1464776B-E42A-4A47-99F2-FC4756B05FDF}"/>
  </w:font>
  <w:font w:name="仿宋">
    <w:panose1 w:val="02010609060101010101"/>
    <w:charset w:val="86"/>
    <w:family w:val="modern"/>
    <w:pitch w:val="default"/>
    <w:sig w:usb0="800002BF" w:usb1="38CF7CFA" w:usb2="00000016" w:usb3="00000000" w:csb0="00040001" w:csb1="00000000"/>
    <w:embedRegular r:id="rId5" w:fontKey="{B9577030-469D-47E6-886E-ADD0A8B21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506C">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59C190BE">
    <w:pPr>
      <w:pStyle w:val="7"/>
      <w:ind w:right="360"/>
    </w:pPr>
  </w:p>
  <w:p w14:paraId="1D06B07A">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B89E">
    <w:pPr>
      <w:snapToGrid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3124F">
    <w:pPr>
      <w:jc w:val="right"/>
      <w:rPr>
        <w:rFonts w:ascii="黑体" w:hAnsi="黑体" w:eastAsia="黑体"/>
        <w:szCs w:val="21"/>
      </w:rPr>
    </w:pPr>
    <w:r>
      <w:rPr>
        <w:rFonts w:hint="eastAsia" w:ascii="黑体" w:hAnsi="黑体" w:eastAsia="黑体"/>
        <w:szCs w:val="21"/>
      </w:rPr>
      <w:t>T/CGFA</w:t>
    </w:r>
    <w:r>
      <w:rPr>
        <w:rFonts w:hint="eastAsia" w:ascii="黑体" w:hAnsi="黑体" w:eastAsia="黑体"/>
        <w:szCs w:val="21"/>
        <w:lang w:val="en-US" w:eastAsia="zh-CN"/>
      </w:rPr>
      <w:t>XX</w:t>
    </w:r>
    <w:r>
      <w:rPr>
        <w:rFonts w:hint="eastAsia" w:ascii="黑体" w:hAnsi="黑体" w:eastAsia="黑体"/>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4540C"/>
    <w:rsid w:val="000E7F73"/>
    <w:rsid w:val="001013B8"/>
    <w:rsid w:val="00167E00"/>
    <w:rsid w:val="001702BC"/>
    <w:rsid w:val="00184E5C"/>
    <w:rsid w:val="001A6AB4"/>
    <w:rsid w:val="001F7E4A"/>
    <w:rsid w:val="00211749"/>
    <w:rsid w:val="00221E93"/>
    <w:rsid w:val="00272BBF"/>
    <w:rsid w:val="002A0C97"/>
    <w:rsid w:val="002B7D3F"/>
    <w:rsid w:val="002C22C2"/>
    <w:rsid w:val="003025CE"/>
    <w:rsid w:val="00323CAE"/>
    <w:rsid w:val="00380396"/>
    <w:rsid w:val="003C385A"/>
    <w:rsid w:val="003D42E2"/>
    <w:rsid w:val="003F1F68"/>
    <w:rsid w:val="00413BD5"/>
    <w:rsid w:val="0047357B"/>
    <w:rsid w:val="00487DCC"/>
    <w:rsid w:val="004C517D"/>
    <w:rsid w:val="00500138"/>
    <w:rsid w:val="0050119A"/>
    <w:rsid w:val="00503376"/>
    <w:rsid w:val="005123DE"/>
    <w:rsid w:val="00550656"/>
    <w:rsid w:val="00561350"/>
    <w:rsid w:val="005613F2"/>
    <w:rsid w:val="005A4DC7"/>
    <w:rsid w:val="0060494B"/>
    <w:rsid w:val="0062693E"/>
    <w:rsid w:val="00630E24"/>
    <w:rsid w:val="00685EA9"/>
    <w:rsid w:val="006B251A"/>
    <w:rsid w:val="006D24F9"/>
    <w:rsid w:val="006E0E7F"/>
    <w:rsid w:val="006F22C7"/>
    <w:rsid w:val="006F5340"/>
    <w:rsid w:val="00713CC6"/>
    <w:rsid w:val="00714900"/>
    <w:rsid w:val="0074527F"/>
    <w:rsid w:val="00775345"/>
    <w:rsid w:val="00783B78"/>
    <w:rsid w:val="007D13FA"/>
    <w:rsid w:val="00831FCD"/>
    <w:rsid w:val="008436D3"/>
    <w:rsid w:val="008E1422"/>
    <w:rsid w:val="008E34E8"/>
    <w:rsid w:val="008F1F6B"/>
    <w:rsid w:val="00904089"/>
    <w:rsid w:val="0092492A"/>
    <w:rsid w:val="009378B1"/>
    <w:rsid w:val="009548DB"/>
    <w:rsid w:val="009E7A93"/>
    <w:rsid w:val="00A27E0E"/>
    <w:rsid w:val="00A67B7D"/>
    <w:rsid w:val="00AB5AE1"/>
    <w:rsid w:val="00AC386B"/>
    <w:rsid w:val="00B10096"/>
    <w:rsid w:val="00B1402C"/>
    <w:rsid w:val="00BA20F5"/>
    <w:rsid w:val="00BB010A"/>
    <w:rsid w:val="00BC6AD2"/>
    <w:rsid w:val="00C0578E"/>
    <w:rsid w:val="00C126C0"/>
    <w:rsid w:val="00C86853"/>
    <w:rsid w:val="00CE0A16"/>
    <w:rsid w:val="00CE0F5D"/>
    <w:rsid w:val="00CF76F6"/>
    <w:rsid w:val="00D23DA7"/>
    <w:rsid w:val="00D24F94"/>
    <w:rsid w:val="00D5795F"/>
    <w:rsid w:val="00E04DAF"/>
    <w:rsid w:val="00E4022C"/>
    <w:rsid w:val="00E719DE"/>
    <w:rsid w:val="00E72A55"/>
    <w:rsid w:val="00E9181A"/>
    <w:rsid w:val="00F00520"/>
    <w:rsid w:val="00F25705"/>
    <w:rsid w:val="00F747A1"/>
    <w:rsid w:val="00F754DE"/>
    <w:rsid w:val="00F92361"/>
    <w:rsid w:val="00FD550A"/>
    <w:rsid w:val="00FE5DBC"/>
    <w:rsid w:val="00FE6ECC"/>
    <w:rsid w:val="02ED7EC0"/>
    <w:rsid w:val="030D40BE"/>
    <w:rsid w:val="03231B33"/>
    <w:rsid w:val="039667A9"/>
    <w:rsid w:val="0575419C"/>
    <w:rsid w:val="05791EDF"/>
    <w:rsid w:val="069E458D"/>
    <w:rsid w:val="06CE70B8"/>
    <w:rsid w:val="07261BF2"/>
    <w:rsid w:val="07660241"/>
    <w:rsid w:val="076F5DD8"/>
    <w:rsid w:val="07D653C6"/>
    <w:rsid w:val="091F2D9D"/>
    <w:rsid w:val="09B434E5"/>
    <w:rsid w:val="0A412F2D"/>
    <w:rsid w:val="0A5B7E05"/>
    <w:rsid w:val="0A7D421F"/>
    <w:rsid w:val="0A801619"/>
    <w:rsid w:val="0AA01CBB"/>
    <w:rsid w:val="0ABB6AF5"/>
    <w:rsid w:val="0D002EE5"/>
    <w:rsid w:val="0D8E6743"/>
    <w:rsid w:val="0DDD6D83"/>
    <w:rsid w:val="0EF44384"/>
    <w:rsid w:val="0F7FE551"/>
    <w:rsid w:val="0F977B31"/>
    <w:rsid w:val="0F9A4F2B"/>
    <w:rsid w:val="0FAF717F"/>
    <w:rsid w:val="103B4960"/>
    <w:rsid w:val="12A865D7"/>
    <w:rsid w:val="12C14EC5"/>
    <w:rsid w:val="13675A6C"/>
    <w:rsid w:val="14F72CD4"/>
    <w:rsid w:val="16A550C0"/>
    <w:rsid w:val="17681DB3"/>
    <w:rsid w:val="177B2D49"/>
    <w:rsid w:val="17984446"/>
    <w:rsid w:val="17AC0191"/>
    <w:rsid w:val="19045B0B"/>
    <w:rsid w:val="1A50725A"/>
    <w:rsid w:val="1ABB0818"/>
    <w:rsid w:val="1BAA0BEC"/>
    <w:rsid w:val="1C890801"/>
    <w:rsid w:val="1D1F47AD"/>
    <w:rsid w:val="1E0210EB"/>
    <w:rsid w:val="1E1278FC"/>
    <w:rsid w:val="1E791675"/>
    <w:rsid w:val="1EA26CAD"/>
    <w:rsid w:val="1EE73F05"/>
    <w:rsid w:val="1FF02946"/>
    <w:rsid w:val="20855A40"/>
    <w:rsid w:val="21521B0A"/>
    <w:rsid w:val="21B300CF"/>
    <w:rsid w:val="21C7063D"/>
    <w:rsid w:val="221C5C74"/>
    <w:rsid w:val="22243D52"/>
    <w:rsid w:val="22374E87"/>
    <w:rsid w:val="224C47AB"/>
    <w:rsid w:val="23B24AE2"/>
    <w:rsid w:val="24133C83"/>
    <w:rsid w:val="244A1145"/>
    <w:rsid w:val="25F80BEF"/>
    <w:rsid w:val="26B77E68"/>
    <w:rsid w:val="26C30CEC"/>
    <w:rsid w:val="26F45411"/>
    <w:rsid w:val="271D1824"/>
    <w:rsid w:val="28153891"/>
    <w:rsid w:val="2A3873C3"/>
    <w:rsid w:val="2A7E3970"/>
    <w:rsid w:val="2A9375F8"/>
    <w:rsid w:val="2AA84549"/>
    <w:rsid w:val="2B0F4649"/>
    <w:rsid w:val="2C8608B9"/>
    <w:rsid w:val="2CB13B0D"/>
    <w:rsid w:val="2CE61358"/>
    <w:rsid w:val="2D214A86"/>
    <w:rsid w:val="2DCF003E"/>
    <w:rsid w:val="2DDF532B"/>
    <w:rsid w:val="2E0F0005"/>
    <w:rsid w:val="2EC658E5"/>
    <w:rsid w:val="2FD302BA"/>
    <w:rsid w:val="2FDE6C5E"/>
    <w:rsid w:val="2FE73D65"/>
    <w:rsid w:val="30896BCA"/>
    <w:rsid w:val="30CC4D09"/>
    <w:rsid w:val="317433D6"/>
    <w:rsid w:val="320D162A"/>
    <w:rsid w:val="3293788C"/>
    <w:rsid w:val="32D6521C"/>
    <w:rsid w:val="34A27E10"/>
    <w:rsid w:val="34A79159"/>
    <w:rsid w:val="35C80195"/>
    <w:rsid w:val="35D77352"/>
    <w:rsid w:val="361D1FA0"/>
    <w:rsid w:val="36592B9B"/>
    <w:rsid w:val="37797999"/>
    <w:rsid w:val="3787198A"/>
    <w:rsid w:val="380134EA"/>
    <w:rsid w:val="39916AF0"/>
    <w:rsid w:val="3A15327D"/>
    <w:rsid w:val="3ACE7FFB"/>
    <w:rsid w:val="3AFA0DF0"/>
    <w:rsid w:val="3B381919"/>
    <w:rsid w:val="3B4C7172"/>
    <w:rsid w:val="3B620744"/>
    <w:rsid w:val="3CFC58ED"/>
    <w:rsid w:val="3D587AC8"/>
    <w:rsid w:val="3D7824A0"/>
    <w:rsid w:val="3D923A95"/>
    <w:rsid w:val="3F406FEE"/>
    <w:rsid w:val="3F4A7E6C"/>
    <w:rsid w:val="3F650802"/>
    <w:rsid w:val="3FAC01DF"/>
    <w:rsid w:val="3FF1653A"/>
    <w:rsid w:val="400D3374"/>
    <w:rsid w:val="41BB4A1A"/>
    <w:rsid w:val="41C10C4B"/>
    <w:rsid w:val="42075BA1"/>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E8259F"/>
    <w:rsid w:val="4C433C79"/>
    <w:rsid w:val="4CC528E0"/>
    <w:rsid w:val="4E5E123E"/>
    <w:rsid w:val="4ECA3C43"/>
    <w:rsid w:val="4F42290E"/>
    <w:rsid w:val="508A00C9"/>
    <w:rsid w:val="50EB11F0"/>
    <w:rsid w:val="50EC48E0"/>
    <w:rsid w:val="514254F0"/>
    <w:rsid w:val="518F4E5F"/>
    <w:rsid w:val="53071EA5"/>
    <w:rsid w:val="530C3017"/>
    <w:rsid w:val="53837A1F"/>
    <w:rsid w:val="53DC22CC"/>
    <w:rsid w:val="54AB7A0C"/>
    <w:rsid w:val="55052414"/>
    <w:rsid w:val="55717AA9"/>
    <w:rsid w:val="558772CD"/>
    <w:rsid w:val="56BC6B02"/>
    <w:rsid w:val="56C1680E"/>
    <w:rsid w:val="56F52DDC"/>
    <w:rsid w:val="591E5852"/>
    <w:rsid w:val="59633BAD"/>
    <w:rsid w:val="5A1D3D5C"/>
    <w:rsid w:val="5A865DA5"/>
    <w:rsid w:val="5B5C4D58"/>
    <w:rsid w:val="5B9B13DC"/>
    <w:rsid w:val="5BD82630"/>
    <w:rsid w:val="5D0E61F4"/>
    <w:rsid w:val="5D276C9F"/>
    <w:rsid w:val="5D687EF1"/>
    <w:rsid w:val="5DBA5211"/>
    <w:rsid w:val="5E7303EE"/>
    <w:rsid w:val="5ED13367"/>
    <w:rsid w:val="5EFFA102"/>
    <w:rsid w:val="5F0059FA"/>
    <w:rsid w:val="5F78AF6A"/>
    <w:rsid w:val="5FDF25F8"/>
    <w:rsid w:val="6363332A"/>
    <w:rsid w:val="63B514A9"/>
    <w:rsid w:val="63FA5A12"/>
    <w:rsid w:val="64AFC870"/>
    <w:rsid w:val="64DF4A2F"/>
    <w:rsid w:val="65145310"/>
    <w:rsid w:val="655D3BA6"/>
    <w:rsid w:val="6832131A"/>
    <w:rsid w:val="691F5C3D"/>
    <w:rsid w:val="6931330C"/>
    <w:rsid w:val="697B45FB"/>
    <w:rsid w:val="6A745C1A"/>
    <w:rsid w:val="6A953744"/>
    <w:rsid w:val="6BD13FFF"/>
    <w:rsid w:val="6BE566A3"/>
    <w:rsid w:val="6C066D46"/>
    <w:rsid w:val="6C3F7360"/>
    <w:rsid w:val="6CBA7B30"/>
    <w:rsid w:val="6D12171A"/>
    <w:rsid w:val="6D3276C6"/>
    <w:rsid w:val="6DE035C6"/>
    <w:rsid w:val="6DFE17C2"/>
    <w:rsid w:val="6E239581"/>
    <w:rsid w:val="6F5F2EAE"/>
    <w:rsid w:val="6F7FB2BF"/>
    <w:rsid w:val="6FAF53C6"/>
    <w:rsid w:val="712B39A2"/>
    <w:rsid w:val="71436346"/>
    <w:rsid w:val="721B4BCD"/>
    <w:rsid w:val="72271C00"/>
    <w:rsid w:val="723E41DB"/>
    <w:rsid w:val="72C139C6"/>
    <w:rsid w:val="74CE598A"/>
    <w:rsid w:val="74F1000A"/>
    <w:rsid w:val="75834F63"/>
    <w:rsid w:val="775A7F45"/>
    <w:rsid w:val="776B5CAF"/>
    <w:rsid w:val="778C23F0"/>
    <w:rsid w:val="77DA4BE2"/>
    <w:rsid w:val="780B1240"/>
    <w:rsid w:val="783764D9"/>
    <w:rsid w:val="784339AA"/>
    <w:rsid w:val="787B0173"/>
    <w:rsid w:val="78D4383F"/>
    <w:rsid w:val="78F20A82"/>
    <w:rsid w:val="79030169"/>
    <w:rsid w:val="79F2235B"/>
    <w:rsid w:val="7A2111EE"/>
    <w:rsid w:val="7BFFA6FC"/>
    <w:rsid w:val="7CBE2D25"/>
    <w:rsid w:val="7CE3278B"/>
    <w:rsid w:val="7D494CE4"/>
    <w:rsid w:val="7DED1B13"/>
    <w:rsid w:val="7EA5921F"/>
    <w:rsid w:val="7EED78F1"/>
    <w:rsid w:val="7F6C2F0C"/>
    <w:rsid w:val="7F7EE227"/>
    <w:rsid w:val="7FB1091F"/>
    <w:rsid w:val="7FBB354B"/>
    <w:rsid w:val="7FE4F404"/>
    <w:rsid w:val="7FFFE449"/>
    <w:rsid w:val="A0755B6F"/>
    <w:rsid w:val="ADFB0E2C"/>
    <w:rsid w:val="BFDFDCF2"/>
    <w:rsid w:val="D5FEDF15"/>
    <w:rsid w:val="F64FDE94"/>
    <w:rsid w:val="FFBFB189"/>
    <w:rsid w:val="FFC72901"/>
    <w:rsid w:val="FFEEC4F4"/>
    <w:rsid w:val="FFFD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ascii="黑体" w:hAnsi="黑体" w:eastAsia="黑体"/>
      <w:bCs/>
      <w:kern w:val="44"/>
      <w:szCs w:val="44"/>
    </w:rPr>
  </w:style>
  <w:style w:type="paragraph" w:styleId="3">
    <w:name w:val="heading 4"/>
    <w:basedOn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日期 Char"/>
    <w:basedOn w:val="11"/>
    <w:link w:val="5"/>
    <w:semiHidden/>
    <w:qFormat/>
    <w:uiPriority w:val="99"/>
    <w:rPr>
      <w:kern w:val="2"/>
      <w:sz w:val="21"/>
      <w:szCs w:val="22"/>
    </w:rPr>
  </w:style>
  <w:style w:type="character" w:customStyle="1" w:styleId="16">
    <w:name w:val="批注框文本 Char"/>
    <w:basedOn w:val="11"/>
    <w:link w:val="6"/>
    <w:semiHidden/>
    <w:qFormat/>
    <w:uiPriority w:val="99"/>
    <w:rPr>
      <w:kern w:val="2"/>
      <w:sz w:val="18"/>
      <w:szCs w:val="18"/>
    </w:rPr>
  </w:style>
  <w:style w:type="paragraph" w:customStyle="1" w:styleId="17">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8">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9">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0">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1">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2">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4">
    <w:name w:val="批注文字 Char"/>
    <w:basedOn w:val="11"/>
    <w:link w:val="4"/>
    <w:qFormat/>
    <w:uiPriority w:val="99"/>
    <w:rPr>
      <w:kern w:val="2"/>
      <w:sz w:val="21"/>
      <w:szCs w:val="22"/>
    </w:rPr>
  </w:style>
  <w:style w:type="paragraph" w:customStyle="1" w:styleId="25">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6">
    <w:name w:val="页眉 Char"/>
    <w:basedOn w:val="11"/>
    <w:link w:val="8"/>
    <w:qFormat/>
    <w:uiPriority w:val="99"/>
    <w:rPr>
      <w:kern w:val="2"/>
      <w:sz w:val="18"/>
      <w:szCs w:val="18"/>
    </w:rPr>
  </w:style>
  <w:style w:type="character" w:customStyle="1" w:styleId="27">
    <w:name w:val="页脚 Char"/>
    <w:basedOn w:val="11"/>
    <w:link w:val="7"/>
    <w:qFormat/>
    <w:uiPriority w:val="99"/>
    <w:rPr>
      <w:kern w:val="2"/>
      <w:sz w:val="18"/>
      <w:szCs w:val="18"/>
    </w:rPr>
  </w:style>
  <w:style w:type="character" w:customStyle="1" w:styleId="28">
    <w:name w:val="标题 4 Char"/>
    <w:basedOn w:val="11"/>
    <w:link w:val="3"/>
    <w:qFormat/>
    <w:uiPriority w:val="9"/>
    <w:rPr>
      <w:rFonts w:ascii="宋体" w:hAnsi="宋体" w:eastAsia="宋体" w:cs="宋体"/>
      <w:b/>
      <w:bCs/>
      <w:sz w:val="24"/>
      <w:szCs w:val="24"/>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列出段落1"/>
    <w:basedOn w:val="1"/>
    <w:qFormat/>
    <w:uiPriority w:val="99"/>
    <w:pPr>
      <w:ind w:firstLine="420"/>
    </w:pPr>
    <w:rPr>
      <w:rFonts w:ascii="Times New Roman" w:hAnsi="Times New Roman"/>
      <w:szCs w:val="21"/>
    </w:rPr>
  </w:style>
  <w:style w:type="paragraph" w:styleId="31">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414cb8-866f-4122-8099-1636c23d732d}"/>
        <w:style w:val=""/>
        <w:category>
          <w:name w:val="常规"/>
          <w:gallery w:val="placeholder"/>
        </w:category>
        <w:types>
          <w:type w:val="bbPlcHdr"/>
        </w:types>
        <w:behaviors>
          <w:behavior w:val="content"/>
        </w:behaviors>
        <w:description w:val=""/>
        <w:guid w:val="{65414CB8-866F-4122-8099-1636C23D732D}"/>
      </w:docPartPr>
      <w:docPartBody>
        <w:p w14:paraId="4CD86545">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5D136E"/>
    <w:rsid w:val="000B408B"/>
    <w:rsid w:val="0052385A"/>
    <w:rsid w:val="005D136E"/>
    <w:rsid w:val="00FE3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7A414EDCB4A429A829489051ADF34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01b5feef-f2fa-4cb5-9543-1c43da5cbbef</errorID>
      <errorWord xmlns="http://schemas.wps.cn/vas-ai-hub/contract-review">粘土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黏土</item>
      </candidateList>
      <explain xmlns="http://schemas.wps.cn/vas-ai-hub/contract-review">存在发音相同字词的误用。</explain>
      <paraID xmlns="http://schemas.wps.cn/vas-ai-hub/contract-review">54BBBF5C</paraID>
      <start xmlns="http://schemas.wps.cn/vas-ai-hub/contract-review">38</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ecb0685e-906f-41fe-84ce-8d1f47c6b352</errorID>
      <errorWord xmlns="http://schemas.wps.cn/vas-ai-hub/contract-review">一般</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输水管道一般</item>
      </candidateList>
      <explain xmlns="http://schemas.wps.cn/vas-ai-hub/contract-review"/>
      <paraID xmlns="http://schemas.wps.cn/vas-ai-hub/contract-review">159DA218</paraID>
      <start xmlns="http://schemas.wps.cn/vas-ai-hub/contract-review">5</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4973b5ce-3234-46ae-895a-2863cccab411</errorID>
      <errorWord xmlns="http://schemas.wps.cn/vas-ai-hub/contract-review">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item>
      </candidateList>
      <explain xmlns="http://schemas.wps.cn/vas-ai-hub/contract-review"/>
      <paraID xmlns="http://schemas.wps.cn/vas-ai-hub/contract-review">159DA218</paraID>
      <start xmlns="http://schemas.wps.cn/vas-ai-hub/contract-review">7</start>
      <end xmlns="http://schemas.wps.cn/vas-ai-hub/contract-review">8</end>
      <status xmlns="http://schemas.wps.cn/vas-ai-hub/contract-review">modified</status>
      <modifiedWord xmlns="http://schemas.wps.cn/vas-ai-hub/contract-review">为</modifiedWord>
      <trackRevisions xmlns="http://schemas.wps.cn/vas-ai-hub/contract-review">false</trackRevisions>
    </reviewItem>
    <reviewItem xmlns="http://schemas.wps.cn/vas-ai-hub/contract-review">
      <errorID xmlns="http://schemas.wps.cn/vas-ai-hub/contract-review">b039daa1-357d-4dab-99c5-61af4e6b4032</errorID>
      <errorWord xmlns="http://schemas.wps.cn/vas-ai-hub/contract-review">土壤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的土壤</item>
      </candidateList>
      <explain xmlns="http://schemas.wps.cn/vas-ai-hub/contract-review"/>
      <paraID xmlns="http://schemas.wps.cn/vas-ai-hub/contract-review">518ADE48</paraID>
      <start xmlns="http://schemas.wps.cn/vas-ai-hub/contract-review">12</start>
      <end xmlns="http://schemas.wps.cn/vas-ai-hub/contract-review">15</end>
      <status xmlns="http://schemas.wps.cn/vas-ai-hub/contract-review">modified</status>
      <modifiedWord xmlns="http://schemas.wps.cn/vas-ai-hub/contract-review">的土壤</modifiedWord>
      <trackRevisions xmlns="http://schemas.wps.cn/vas-ai-hub/contract-review">false</trackRevisions>
    </reviewItem>
    <reviewItem xmlns="http://schemas.wps.cn/vas-ai-hub/contract-review">
      <errorID xmlns="http://schemas.wps.cn/vas-ai-hub/contract-review">505f2e97-f96a-4796-b6ca-5445cd0273a2</errorID>
      <errorWord xmlns="http://schemas.wps.cn/vas-ai-hub/contract-review">一般</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，一般</item>
      </candidateList>
      <explain xmlns="http://schemas.wps.cn/vas-ai-hub/contract-review"/>
      <paraID xmlns="http://schemas.wps.cn/vas-ai-hub/contract-review"> 16DEA99</paraID>
      <start xmlns="http://schemas.wps.cn/vas-ai-hub/contract-review">6</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462ecd08-303d-430c-a4b9-9ea8aad96f92</errorID>
      <errorWord xmlns="http://schemas.wps.cn/vas-ai-hub/contract-review">撒施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撒施</item>
      </candidateList>
      <explain xmlns="http://schemas.wps.cn/vas-ai-hub/contract-review"/>
      <paraID xmlns="http://schemas.wps.cn/vas-ai-hub/contract-review">3D3388E3</paraID>
      <start xmlns="http://schemas.wps.cn/vas-ai-hub/contract-review">7</start>
      <end xmlns="http://schemas.wps.cn/vas-ai-hub/contract-review">10</end>
      <status xmlns="http://schemas.wps.cn/vas-ai-hub/contract-review">modified</status>
      <modifiedWord xmlns="http://schemas.wps.cn/vas-ai-hub/contract-review"> 撒施</modifiedWord>
      <trackRevisions xmlns="http://schemas.wps.cn/vas-ai-hub/contract-review">false</trackRevisions>
    </reviewItem>
    <reviewItem xmlns="http://schemas.wps.cn/vas-ai-hub/contract-review">
      <errorID xmlns="http://schemas.wps.cn/vas-ai-hub/contract-review">d5cc01c7-d2b6-49bc-9d5c-1979c44aa31c</errorID>
      <errorWord xmlns="http://schemas.wps.cn/vas-ai-hub/contract-review">借助于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借助</item>
      </candidateList>
      <explain xmlns="http://schemas.wps.cn/vas-ai-hub/contract-review"/>
      <paraID xmlns="http://schemas.wps.cn/vas-ai-hub/contract-review">42CFD2A2</paraID>
      <start xmlns="http://schemas.wps.cn/vas-ai-hub/contract-review">45</start>
      <end xmlns="http://schemas.wps.cn/vas-ai-hub/contract-review">47</end>
      <status xmlns="http://schemas.wps.cn/vas-ai-hub/contract-review">modified</status>
      <modifiedWord xmlns="http://schemas.wps.cn/vas-ai-hub/contract-review">借助</modifiedWord>
      <trackRevisions xmlns="http://schemas.wps.cn/vas-ai-hub/contract-review">false</trackRevisions>
    </reviewItem>
    <reviewItem xmlns="http://schemas.wps.cn/vas-ai-hub/contract-review">
      <errorID xmlns="http://schemas.wps.cn/vas-ai-hub/contract-review">bb035624-c5e4-4537-afc6-05836c2f62fb</errorID>
      <errorWord xmlns="http://schemas.wps.cn/vas-ai-hub/contract-review">马齿笕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马齿苋</item>
      </candidateList>
      <explain xmlns="http://schemas.wps.cn/vas-ai-hub/contract-review"/>
      <paraID xmlns="http://schemas.wps.cn/vas-ai-hub/contract-review">5A02D933</paraID>
      <start xmlns="http://schemas.wps.cn/vas-ai-hub/contract-review">20</start>
      <end xmlns="http://schemas.wps.cn/vas-ai-hub/contract-review">23</end>
      <status xmlns="http://schemas.wps.cn/vas-ai-hub/contract-review">modified</status>
      <modifiedWord xmlns="http://schemas.wps.cn/vas-ai-hub/contract-review">马齿苋</modifiedWord>
      <trackRevisions xmlns="http://schemas.wps.cn/vas-ai-hub/contract-review">false</trackRevisions>
    </reviewItem>
    <reviewItem xmlns="http://schemas.wps.cn/vas-ai-hub/contract-review">
      <errorID xmlns="http://schemas.wps.cn/vas-ai-hub/contract-review">887c03dc-3a2c-4332-8347-8ac535376c91</errorID>
      <errorWord xmlns="http://schemas.wps.cn/vas-ai-hub/contract-review">粘虫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黏虫</item>
      </candidateList>
      <explain xmlns="http://schemas.wps.cn/vas-ai-hub/contract-review"/>
      <paraID xmlns="http://schemas.wps.cn/vas-ai-hub/contract-review"> 8134F2E</paraID>
      <start xmlns="http://schemas.wps.cn/vas-ai-hub/contract-review">54</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822425f0-096e-4bc5-aa5d-8cd0d1ac0505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6891E402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1a10bf81-a3b2-4901-b39f-6d7d846d85b7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90FE2FA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56403076-84c2-4060-ba5e-009ca353b6ef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11D91173</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f120a0ee-9543-4add-ad57-af8010889a9b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B6641A1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4396bdd3-da7a-4210-be49-c699da3008ad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3D2CEFEB</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65dac5eb-9169-418a-97cd-880f0b9dc32e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71D0BCE7</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da83984a-6652-4868-bb9a-2fb10ab96d31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2C472F0A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cfed37bd-3529-4b24-b007-7ab7e538a180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628F14A1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8b2b7cda-a864-43a4-9bd1-ca7657aed1c8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6B358D96</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8af9c435-bdac-4b89-a3a4-daedc0fe9898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4D063D4A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3C43D-8BF3-424D-9BBB-2813DF762D0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3088</Words>
  <Characters>3558</Characters>
  <Lines>29</Lines>
  <Paragraphs>8</Paragraphs>
  <TotalTime>7</TotalTime>
  <ScaleCrop>false</ScaleCrop>
  <LinksUpToDate>false</LinksUpToDate>
  <CharactersWithSpaces>3747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2026-03-31T07:41:00Z</dcterms:created>
  <dc:creator>志成</dc:creator>
  <cp:lastModifiedBy>房正</cp:lastModifiedBy>
  <dcterms:modified xsi:type="dcterms:W3CDTF">2026-04-15T01:12:00Z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C441D48FCC4C479DAF213E8860080E1C_13</vt:lpwstr>
  </property>
  <property fmtid="{D5CDD505-2E9C-101B-9397-08002B2CF9AE}" pid="4" name="KSOTemplateDocerSaveRecord">
    <vt:lpwstr>eyJoZGlkIjoiMGUyOGZlMzdlZWEyMGFlYzc0ZWE1MGJlZjA4NmY3NTMiLCJ1c2VySWQiOiIyNzM3NDc2MDMifQ==</vt:lpwstr>
  </property>
</Properties>
</file>