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4ED1A">
      <w:pPr>
        <w:pStyle w:val="20"/>
        <w:framePr w:wrap="around" w:x="1470" w:y="3511"/>
        <w:rPr>
          <w:rFonts w:hint="default"/>
        </w:rPr>
      </w:pPr>
      <w:r>
        <w:t>T/CGFA***-2026</w:t>
      </w:r>
    </w:p>
    <w:p w14:paraId="1FB8B7B1">
      <w:pPr>
        <w:pStyle w:val="20"/>
        <w:framePr w:wrap="around" w:x="1470" w:y="3511"/>
        <w:rPr>
          <w:rFonts w:hint="default"/>
        </w:rPr>
      </w:pPr>
    </w:p>
    <w:tbl>
      <w:tblPr>
        <w:tblStyle w:val="1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1F75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0C6BD274">
            <w:pPr>
              <w:pStyle w:val="17"/>
              <w:framePr w:wrap="around"/>
              <w:rPr>
                <w:rFonts w:hint="default"/>
                <w:sz w:val="10"/>
              </w:rPr>
            </w:pPr>
          </w:p>
        </w:tc>
      </w:tr>
    </w:tbl>
    <w:p w14:paraId="734134D2">
      <w:pPr>
        <w:framePr w:w="9639" w:h="6974" w:hRule="exact" w:wrap="around" w:vAnchor="page" w:hAnchor="page" w:x="1419" w:y="6408"/>
        <w:spacing w:line="560" w:lineRule="exact"/>
        <w:jc w:val="center"/>
        <w:rPr>
          <w:rFonts w:ascii="黑体" w:hAnsi="黑体" w:eastAsia="黑体" w:cs="华文中宋"/>
          <w:bCs/>
          <w:sz w:val="48"/>
          <w:szCs w:val="48"/>
        </w:rPr>
      </w:pPr>
      <w:r>
        <w:rPr>
          <w:rFonts w:hint="eastAsia" w:ascii="黑体" w:hAnsi="黑体" w:eastAsia="黑体" w:cs="华文中宋"/>
          <w:bCs/>
          <w:sz w:val="48"/>
          <w:szCs w:val="48"/>
        </w:rPr>
        <w:t>绿色食品 东北地区玉米生产操作规程</w:t>
      </w:r>
    </w:p>
    <w:p w14:paraId="27944BC9">
      <w:pPr>
        <w:framePr w:w="9639" w:h="6974" w:hRule="exact" w:wrap="around" w:vAnchor="page" w:hAnchor="page" w:x="1419" w:y="6408"/>
        <w:jc w:val="center"/>
        <w:rPr>
          <w:rFonts w:ascii="Segoe UI" w:hAnsi="Segoe UI" w:eastAsia="Segoe UI" w:cs="Segoe UI"/>
          <w:szCs w:val="21"/>
          <w:u w:val="single"/>
          <w:shd w:val="clear" w:color="auto" w:fill="EDF1F9"/>
        </w:rPr>
      </w:pPr>
    </w:p>
    <w:p w14:paraId="7F2C1C48">
      <w:pPr>
        <w:framePr w:w="9639" w:h="6974" w:hRule="exact" w:wrap="around" w:vAnchor="page" w:hAnchor="page" w:x="1419" w:y="6408"/>
        <w:spacing w:line="560" w:lineRule="exact"/>
        <w:jc w:val="center"/>
        <w:rPr>
          <w:rFonts w:ascii="Times New Roman" w:hAnsi="Times New Roman" w:eastAsia="华文中宋" w:cs="Times New Roman"/>
          <w:bCs/>
          <w:sz w:val="24"/>
          <w:szCs w:val="24"/>
        </w:rPr>
      </w:pPr>
      <w:r>
        <w:rPr>
          <w:rFonts w:ascii="Times New Roman" w:hAnsi="Times New Roman" w:eastAsia="华文中宋" w:cs="Times New Roman"/>
          <w:bCs/>
          <w:sz w:val="24"/>
          <w:szCs w:val="24"/>
        </w:rPr>
        <w:t xml:space="preserve">Green Food - Operating Procedures for Corn Production in </w:t>
      </w:r>
      <w:r>
        <w:rPr>
          <w:rFonts w:hint="eastAsia" w:ascii="Times New Roman" w:hAnsi="Times New Roman" w:eastAsia="华文中宋" w:cs="Times New Roman"/>
          <w:bCs/>
          <w:sz w:val="24"/>
          <w:szCs w:val="24"/>
        </w:rPr>
        <w:t>Northeast</w:t>
      </w:r>
      <w:r>
        <w:rPr>
          <w:rFonts w:ascii="Times New Roman" w:hAnsi="Times New Roman" w:eastAsia="华文中宋" w:cs="Times New Roman"/>
          <w:bCs/>
          <w:sz w:val="24"/>
          <w:szCs w:val="24"/>
        </w:rPr>
        <w:t xml:space="preserve"> China</w:t>
      </w:r>
    </w:p>
    <w:p w14:paraId="5A45F42F">
      <w:pPr>
        <w:pStyle w:val="21"/>
        <w:framePr w:wrap="around"/>
        <w:rPr>
          <w:rFonts w:hint="default"/>
          <w:u w:val="single"/>
        </w:rPr>
      </w:pPr>
    </w:p>
    <w:p w14:paraId="40D2DAC5">
      <w:pPr>
        <w:pStyle w:val="21"/>
        <w:framePr w:wrap="around"/>
        <w:rPr>
          <w:rFonts w:hint="eastAsia" w:eastAsia="黑体"/>
          <w:sz w:val="36"/>
          <w:szCs w:val="22"/>
          <w:u w:val="none"/>
          <w:lang w:eastAsia="zh-CN"/>
        </w:rPr>
      </w:pPr>
      <w:r>
        <w:rPr>
          <w:rFonts w:hint="eastAsia"/>
          <w:sz w:val="36"/>
          <w:szCs w:val="22"/>
          <w:u w:val="none"/>
          <w:lang w:eastAsia="zh-CN"/>
        </w:rPr>
        <w:t>（</w:t>
      </w:r>
      <w:r>
        <w:rPr>
          <w:rFonts w:hint="eastAsia"/>
          <w:sz w:val="36"/>
          <w:szCs w:val="22"/>
          <w:u w:val="none"/>
          <w:lang w:val="en-US" w:eastAsia="zh-CN"/>
        </w:rPr>
        <w:t>征求意见稿</w:t>
      </w:r>
      <w:r>
        <w:rPr>
          <w:rFonts w:hint="eastAsia"/>
          <w:sz w:val="36"/>
          <w:szCs w:val="22"/>
          <w:u w:val="none"/>
          <w:lang w:eastAsia="zh-CN"/>
        </w:rPr>
        <w:t>）</w:t>
      </w:r>
    </w:p>
    <w:tbl>
      <w:tblPr>
        <w:tblStyle w:val="11"/>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1CBE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48B59CFE">
            <w:pPr>
              <w:pStyle w:val="18"/>
              <w:framePr w:wrap="around"/>
              <w:rPr>
                <w:rFonts w:hint="default"/>
              </w:rPr>
            </w:pPr>
            <w:r>
              <w:t xml:space="preserve">2026 </w:t>
            </w:r>
            <w:r>
              <w:rPr>
                <w:rFonts w:ascii="宋体" w:hAnsi="宋体" w:eastAsia="宋体" w:cs="宋体"/>
              </w:rPr>
              <w:t>–</w:t>
            </w:r>
            <w:r>
              <w:t xml:space="preserve">  </w:t>
            </w:r>
            <w:r>
              <w:rPr>
                <w:rFonts w:ascii="宋体" w:hAnsi="宋体" w:eastAsia="宋体" w:cs="宋体"/>
              </w:rPr>
              <w:t>–</w:t>
            </w:r>
            <w:r>
              <w:t xml:space="preserve"> 发布</w:t>
            </w:r>
          </w:p>
        </w:tc>
        <w:tc>
          <w:tcPr>
            <w:tcW w:w="5508" w:type="dxa"/>
            <w:tcBorders>
              <w:bottom w:val="single" w:color="auto" w:sz="8" w:space="0"/>
            </w:tcBorders>
            <w:tcMar>
              <w:right w:w="57" w:type="dxa"/>
            </w:tcMar>
          </w:tcPr>
          <w:p w14:paraId="7A54A804">
            <w:pPr>
              <w:pStyle w:val="18"/>
              <w:framePr w:wrap="around"/>
              <w:ind w:right="1120"/>
              <w:jc w:val="right"/>
              <w:rPr>
                <w:rFonts w:hint="default"/>
              </w:rPr>
            </w:pPr>
            <w:r>
              <w:t xml:space="preserve">    2026 </w:t>
            </w:r>
            <w:r>
              <w:rPr>
                <w:rFonts w:ascii="宋体" w:hAnsi="宋体" w:eastAsia="宋体" w:cs="宋体"/>
              </w:rPr>
              <w:t>–</w:t>
            </w:r>
            <w:r>
              <w:t xml:space="preserve">  - </w:t>
            </w:r>
            <w:r>
              <w:rPr>
                <w:highlight w:val="none"/>
              </w:rPr>
              <w:t xml:space="preserve"> </w:t>
            </w:r>
            <w:r>
              <w:t>实施</w:t>
            </w:r>
          </w:p>
        </w:tc>
      </w:tr>
    </w:tbl>
    <w:p w14:paraId="5971AE96">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0"/>
        <w:gridCol w:w="7"/>
      </w:tblGrid>
      <w:tr w14:paraId="3B63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943927F">
            <w:pPr>
              <w:pStyle w:val="22"/>
              <w:framePr w:wrap="around"/>
              <w:rPr>
                <w:rFonts w:hint="default"/>
              </w:rPr>
            </w:pPr>
            <w:r>
              <w:t>ICS</w:t>
            </w:r>
          </w:p>
        </w:tc>
        <w:tc>
          <w:tcPr>
            <w:tcW w:w="9107" w:type="dxa"/>
            <w:gridSpan w:val="2"/>
          </w:tcPr>
          <w:p w14:paraId="30580275">
            <w:pPr>
              <w:pStyle w:val="22"/>
              <w:framePr w:wrap="around"/>
              <w:rPr>
                <w:rFonts w:hint="default"/>
              </w:rPr>
            </w:pPr>
          </w:p>
        </w:tc>
      </w:tr>
      <w:tr w14:paraId="6B6C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60215D3B">
            <w:pPr>
              <w:pStyle w:val="22"/>
              <w:framePr w:wrap="around"/>
              <w:rPr>
                <w:rFonts w:hint="default"/>
              </w:rPr>
            </w:pPr>
            <w:r>
              <w:t>CCS</w:t>
            </w:r>
          </w:p>
        </w:tc>
        <w:tc>
          <w:tcPr>
            <w:tcW w:w="9107" w:type="dxa"/>
            <w:gridSpan w:val="2"/>
          </w:tcPr>
          <w:tbl>
            <w:tblPr>
              <w:tblStyle w:val="11"/>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6C70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2C163EB4">
                  <w:pPr>
                    <w:pStyle w:val="22"/>
                    <w:framePr w:wrap="around"/>
                    <w:ind w:firstLine="2764"/>
                    <w:jc w:val="right"/>
                    <w:rPr>
                      <w:rFonts w:hint="default" w:ascii="Times New Roman" w:eastAsia="宋体"/>
                      <w:b/>
                      <w:w w:val="130"/>
                      <w:kern w:val="0"/>
                    </w:rPr>
                  </w:pPr>
                  <w:r>
                    <w:rPr>
                      <w:rFonts w:hint="default" w:hAnsi="黑体" w:cs="楷体"/>
                      <w:b/>
                      <w:w w:val="130"/>
                      <w:kern w:val="0"/>
                      <w:sz w:val="96"/>
                    </w:rPr>
                    <w:t>T/CGFA</w:t>
                  </w:r>
                </w:p>
              </w:tc>
            </w:tr>
          </w:tbl>
          <w:p w14:paraId="29BDA4E8">
            <w:pPr>
              <w:pStyle w:val="22"/>
              <w:framePr w:wrap="around"/>
              <w:rPr>
                <w:rFonts w:hint="default"/>
              </w:rPr>
            </w:pPr>
          </w:p>
        </w:tc>
      </w:tr>
      <w:tr w14:paraId="40E4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Pr>
        <w:tc>
          <w:tcPr>
            <w:tcW w:w="9563" w:type="dxa"/>
            <w:gridSpan w:val="2"/>
          </w:tcPr>
          <w:p w14:paraId="2C4DD4AA">
            <w:pPr>
              <w:pStyle w:val="25"/>
              <w:framePr w:wrap="around"/>
              <w:rPr>
                <w:szCs w:val="21"/>
              </w:rPr>
            </w:pPr>
            <w:r>
              <w:rPr>
                <w:rFonts w:hint="eastAsia"/>
              </w:rPr>
              <w:t>中国绿色食品协会团体标准</w:t>
            </w:r>
          </w:p>
        </w:tc>
      </w:tr>
    </w:tbl>
    <w:p w14:paraId="12C7DCD8"/>
    <w:p w14:paraId="18700331">
      <w:pPr>
        <w:widowControl/>
        <w:jc w:val="left"/>
      </w:pPr>
      <w:r>
        <w:br w:type="page"/>
      </w:r>
    </w:p>
    <w:p w14:paraId="1C373589">
      <w:pPr>
        <w:sectPr>
          <w:pgSz w:w="11906" w:h="16838"/>
          <w:pgMar w:top="1440" w:right="1800" w:bottom="1440" w:left="1800" w:header="851" w:footer="992" w:gutter="0"/>
          <w:cols w:space="425" w:num="1"/>
          <w:docGrid w:type="lines" w:linePitch="312" w:charSpace="0"/>
        </w:sectPr>
      </w:pPr>
    </w:p>
    <w:p w14:paraId="0D0D8E3B">
      <w:pPr>
        <w:jc w:val="center"/>
        <w:rPr>
          <w:rFonts w:ascii="黑体" w:hAnsi="黑体" w:eastAsia="黑体"/>
          <w:bCs/>
          <w:sz w:val="32"/>
          <w:szCs w:val="32"/>
        </w:rPr>
      </w:pPr>
      <w:r>
        <w:rPr>
          <w:rFonts w:hint="eastAsia" w:ascii="黑体" w:hAnsi="黑体" w:eastAsia="黑体"/>
          <w:bCs/>
          <w:sz w:val="32"/>
          <w:szCs w:val="32"/>
        </w:rPr>
        <w:t>前   言</w:t>
      </w:r>
    </w:p>
    <w:p w14:paraId="5C162F85">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5A29E319">
      <w:pPr>
        <w:ind w:firstLine="420" w:firstLineChars="200"/>
        <w:rPr>
          <w:rFonts w:ascii="宋体" w:hAnsi="宋体" w:eastAsia="宋体"/>
        </w:rPr>
      </w:pPr>
      <w:r>
        <w:rPr>
          <w:rFonts w:hint="eastAsia" w:ascii="宋体" w:hAnsi="宋体" w:eastAsia="宋体"/>
        </w:rPr>
        <w:t>本文件由中国绿色食品发展中心提出。</w:t>
      </w:r>
    </w:p>
    <w:p w14:paraId="13FA117F">
      <w:pPr>
        <w:ind w:firstLine="420" w:firstLineChars="200"/>
        <w:rPr>
          <w:rFonts w:ascii="宋体" w:hAnsi="宋体" w:eastAsia="宋体"/>
        </w:rPr>
      </w:pPr>
      <w:r>
        <w:rPr>
          <w:rFonts w:hint="eastAsia" w:ascii="宋体" w:hAnsi="宋体" w:eastAsia="宋体"/>
        </w:rPr>
        <w:t>本文件由中国绿色食品协会归口。</w:t>
      </w:r>
    </w:p>
    <w:p w14:paraId="7B7DFFB0">
      <w:pPr>
        <w:ind w:firstLine="420" w:firstLineChars="200"/>
        <w:rPr>
          <w:rFonts w:hint="eastAsia" w:ascii="宋体" w:hAnsi="宋体" w:eastAsia="宋体"/>
          <w:lang w:eastAsia="zh-CN"/>
        </w:rPr>
      </w:pPr>
      <w:r>
        <w:rPr>
          <w:rFonts w:hint="eastAsia" w:ascii="宋体" w:hAnsi="宋体" w:eastAsia="宋体"/>
        </w:rPr>
        <w:t>本文件起草单位：</w:t>
      </w:r>
      <w:r>
        <w:rPr>
          <w:rFonts w:hint="eastAsia" w:ascii="宋体" w:hAnsi="宋体" w:eastAsia="宋体"/>
          <w:lang w:val="en-US" w:eastAsia="zh-CN"/>
        </w:rPr>
        <w:t>*</w:t>
      </w:r>
      <w:bookmarkStart w:id="10" w:name="_GoBack"/>
      <w:bookmarkEnd w:id="10"/>
    </w:p>
    <w:p w14:paraId="47E60348">
      <w:pPr>
        <w:ind w:firstLine="420" w:firstLineChars="200"/>
        <w:rPr>
          <w:rFonts w:hint="eastAsia" w:ascii="宋体" w:hAnsi="宋体" w:eastAsia="宋体"/>
          <w:lang w:val="en-US" w:eastAsia="zh-CN"/>
        </w:rPr>
      </w:pPr>
      <w:r>
        <w:rPr>
          <w:rFonts w:hint="eastAsia" w:ascii="宋体" w:hAnsi="宋体" w:eastAsia="宋体"/>
        </w:rPr>
        <w:t>本文件主要起草人：</w:t>
      </w:r>
      <w:r>
        <w:rPr>
          <w:rFonts w:hint="eastAsia" w:ascii="宋体" w:hAnsi="宋体" w:eastAsia="宋体"/>
          <w:lang w:val="en-US" w:eastAsia="zh-CN"/>
        </w:rPr>
        <w:t>*</w:t>
      </w:r>
    </w:p>
    <w:p w14:paraId="0B467F9F">
      <w:pPr>
        <w:ind w:firstLine="420" w:firstLineChars="200"/>
        <w:rPr>
          <w:rFonts w:ascii="宋体" w:hAnsi="宋体" w:eastAsia="宋体"/>
        </w:rPr>
      </w:pPr>
      <w:r>
        <w:rPr>
          <w:rFonts w:hint="eastAsia" w:ascii="宋体" w:hAnsi="宋体" w:eastAsia="宋体"/>
        </w:rPr>
        <w:t>本文件批准发布后，因个别内容需要进行修改，或者对原文件内容进行增减时，可采用修改单方式修改本文件。</w:t>
      </w:r>
    </w:p>
    <w:p w14:paraId="2A9AACDD">
      <w:pPr>
        <w:ind w:firstLine="420" w:firstLineChars="200"/>
        <w:rPr>
          <w:rFonts w:ascii="宋体" w:hAnsi="宋体" w:eastAsia="宋体"/>
        </w:rPr>
      </w:pPr>
      <w:r>
        <w:rPr>
          <w:rFonts w:hint="eastAsia" w:ascii="宋体" w:hAnsi="宋体" w:eastAsia="宋体"/>
        </w:rPr>
        <w:t>本文件为首次发布。</w:t>
      </w:r>
    </w:p>
    <w:p w14:paraId="0AE6534F">
      <w:pPr>
        <w:rPr>
          <w:u w:val="single"/>
        </w:rPr>
      </w:pPr>
    </w:p>
    <w:p w14:paraId="4116B9F1">
      <w:pPr>
        <w:sectPr>
          <w:pgSz w:w="11906" w:h="16838"/>
          <w:pgMar w:top="1440" w:right="1800" w:bottom="1440" w:left="1800" w:header="851" w:footer="992" w:gutter="0"/>
          <w:cols w:space="425" w:num="1"/>
          <w:docGrid w:type="lines" w:linePitch="312" w:charSpace="0"/>
        </w:sectPr>
      </w:pPr>
    </w:p>
    <w:p w14:paraId="1FE82DE4">
      <w:pPr>
        <w:widowControl/>
        <w:jc w:val="center"/>
        <w:rPr>
          <w:rFonts w:ascii="黑体" w:hAnsi="黑体" w:eastAsia="黑体" w:cs="黑体"/>
          <w:kern w:val="0"/>
          <w:sz w:val="32"/>
          <w:szCs w:val="32"/>
        </w:rPr>
      </w:pPr>
      <w:r>
        <w:rPr>
          <w:rFonts w:hint="eastAsia" w:ascii="黑体" w:hAnsi="黑体" w:eastAsia="黑体" w:cs="黑体"/>
          <w:kern w:val="0"/>
          <w:sz w:val="32"/>
          <w:szCs w:val="32"/>
        </w:rPr>
        <w:t>绿色食品 东北地区玉米生产操作规程</w:t>
      </w:r>
    </w:p>
    <w:p w14:paraId="2935476A">
      <w:pPr>
        <w:pStyle w:val="23"/>
        <w:numPr>
          <w:ilvl w:val="0"/>
          <w:numId w:val="0"/>
        </w:numPr>
        <w:spacing w:before="312" w:after="312"/>
        <w:ind w:left="265" w:leftChars="-74" w:hanging="420"/>
      </w:pPr>
      <w:r>
        <w:rPr>
          <w:rFonts w:hint="eastAsia"/>
        </w:rPr>
        <w:t>1  范围</w:t>
      </w:r>
    </w:p>
    <w:p w14:paraId="7C018133">
      <w:pPr>
        <w:pStyle w:val="29"/>
        <w:tabs>
          <w:tab w:val="center" w:pos="4201"/>
          <w:tab w:val="right" w:leader="dot" w:pos="9298"/>
        </w:tabs>
        <w:ind w:firstLine="420"/>
        <w:rPr>
          <w:rFonts w:ascii="Times New Roman"/>
          <w:kern w:val="2"/>
          <w:szCs w:val="21"/>
        </w:rPr>
      </w:pPr>
      <w:r>
        <w:rPr>
          <w:rFonts w:ascii="Times New Roman"/>
          <w:kern w:val="2"/>
          <w:szCs w:val="21"/>
        </w:rPr>
        <w:t>本</w:t>
      </w:r>
      <w:r>
        <w:rPr>
          <w:rFonts w:hint="eastAsia" w:ascii="Times New Roman"/>
          <w:kern w:val="2"/>
          <w:szCs w:val="21"/>
        </w:rPr>
        <w:t>文件</w:t>
      </w:r>
      <w:r>
        <w:rPr>
          <w:rFonts w:ascii="Times New Roman"/>
          <w:kern w:val="2"/>
          <w:szCs w:val="21"/>
        </w:rPr>
        <w:t>规定了</w:t>
      </w:r>
      <w:r>
        <w:rPr>
          <w:rFonts w:hint="eastAsia" w:ascii="Times New Roman"/>
          <w:kern w:val="2"/>
          <w:szCs w:val="21"/>
        </w:rPr>
        <w:t>东北</w:t>
      </w:r>
      <w:r>
        <w:rPr>
          <w:rFonts w:ascii="Times New Roman"/>
          <w:kern w:val="2"/>
          <w:szCs w:val="21"/>
        </w:rPr>
        <w:t>地区绿色食品玉米的产地环境、品种选择、整地</w:t>
      </w:r>
      <w:r>
        <w:rPr>
          <w:rFonts w:hint="eastAsia" w:ascii="Times New Roman"/>
          <w:kern w:val="2"/>
          <w:szCs w:val="21"/>
        </w:rPr>
        <w:t>与</w:t>
      </w:r>
      <w:r>
        <w:rPr>
          <w:rFonts w:ascii="Times New Roman"/>
          <w:kern w:val="2"/>
          <w:szCs w:val="21"/>
        </w:rPr>
        <w:t>播种、田间管理、采收、生产废弃物的处理、</w:t>
      </w:r>
      <w:r>
        <w:rPr>
          <w:rFonts w:hint="eastAsia" w:ascii="Times New Roman"/>
          <w:kern w:val="2"/>
          <w:szCs w:val="21"/>
        </w:rPr>
        <w:t>储</w:t>
      </w:r>
      <w:r>
        <w:rPr>
          <w:rFonts w:ascii="Times New Roman"/>
          <w:kern w:val="2"/>
          <w:szCs w:val="21"/>
        </w:rPr>
        <w:t>藏</w:t>
      </w:r>
      <w:r>
        <w:rPr>
          <w:rFonts w:hint="eastAsia" w:ascii="Times New Roman"/>
          <w:kern w:val="2"/>
          <w:szCs w:val="21"/>
        </w:rPr>
        <w:t>、品质检测</w:t>
      </w:r>
      <w:r>
        <w:rPr>
          <w:rFonts w:ascii="Times New Roman"/>
        </w:rPr>
        <w:t>和生产档案管理</w:t>
      </w:r>
      <w:r>
        <w:rPr>
          <w:rFonts w:hint="eastAsia" w:ascii="Times New Roman"/>
        </w:rPr>
        <w:t>等</w:t>
      </w:r>
      <w:r>
        <w:rPr>
          <w:rFonts w:ascii="Times New Roman"/>
          <w:kern w:val="2"/>
          <w:szCs w:val="21"/>
        </w:rPr>
        <w:t>。</w:t>
      </w:r>
    </w:p>
    <w:p w14:paraId="60C67D9B">
      <w:pPr>
        <w:pStyle w:val="29"/>
        <w:tabs>
          <w:tab w:val="center" w:pos="4201"/>
          <w:tab w:val="right" w:leader="dot" w:pos="9298"/>
        </w:tabs>
        <w:ind w:firstLine="420"/>
        <w:rPr>
          <w:rFonts w:ascii="Times New Roman"/>
          <w:kern w:val="2"/>
          <w:szCs w:val="21"/>
        </w:rPr>
      </w:pPr>
      <w:r>
        <w:rPr>
          <w:rFonts w:ascii="Times New Roman"/>
          <w:kern w:val="2"/>
          <w:szCs w:val="21"/>
        </w:rPr>
        <w:t>本</w:t>
      </w:r>
      <w:r>
        <w:rPr>
          <w:rFonts w:hint="eastAsia" w:ascii="Times New Roman"/>
          <w:kern w:val="2"/>
          <w:szCs w:val="21"/>
        </w:rPr>
        <w:t>文件</w:t>
      </w:r>
      <w:r>
        <w:rPr>
          <w:rFonts w:ascii="Times New Roman"/>
          <w:kern w:val="2"/>
          <w:szCs w:val="21"/>
        </w:rPr>
        <w:t>适用于</w:t>
      </w:r>
      <w:r>
        <w:rPr>
          <w:rFonts w:hint="eastAsia" w:ascii="Times New Roman"/>
          <w:kern w:val="2"/>
          <w:szCs w:val="21"/>
        </w:rPr>
        <w:t>内蒙古</w:t>
      </w:r>
      <w:r>
        <w:rPr>
          <w:rFonts w:ascii="Times New Roman"/>
          <w:kern w:val="2"/>
          <w:szCs w:val="21"/>
        </w:rPr>
        <w:t>、</w:t>
      </w:r>
      <w:r>
        <w:rPr>
          <w:rFonts w:hint="eastAsia" w:ascii="Times New Roman"/>
          <w:kern w:val="2"/>
          <w:szCs w:val="21"/>
        </w:rPr>
        <w:t>辽宁</w:t>
      </w:r>
      <w:r>
        <w:rPr>
          <w:rFonts w:ascii="Times New Roman"/>
          <w:kern w:val="2"/>
          <w:szCs w:val="21"/>
        </w:rPr>
        <w:t>、</w:t>
      </w:r>
      <w:r>
        <w:rPr>
          <w:rFonts w:hint="eastAsia" w:ascii="Times New Roman"/>
          <w:kern w:val="2"/>
          <w:szCs w:val="21"/>
        </w:rPr>
        <w:t>吉林和黑龙江</w:t>
      </w:r>
      <w:r>
        <w:rPr>
          <w:rFonts w:ascii="Times New Roman"/>
          <w:kern w:val="2"/>
          <w:szCs w:val="21"/>
        </w:rPr>
        <w:t>的绿色食品玉米生产。</w:t>
      </w:r>
    </w:p>
    <w:p w14:paraId="39CD9BB8">
      <w:pPr>
        <w:pStyle w:val="2"/>
        <w:spacing w:before="312" w:beforeLines="100" w:after="312" w:afterLine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  规范性引用文件</w:t>
      </w:r>
    </w:p>
    <w:p w14:paraId="1FDBB7B7">
      <w:pPr>
        <w:pStyle w:val="29"/>
        <w:tabs>
          <w:tab w:val="center" w:pos="4201"/>
          <w:tab w:val="right" w:leader="dot" w:pos="9298"/>
        </w:tabs>
        <w:ind w:firstLine="420"/>
      </w:pPr>
      <w:sdt>
        <w:sdtPr>
          <w:tag w:val="StandNameFile"/>
          <w:id w:val="147452692"/>
          <w:placeholder>
            <w:docPart w:val="{65414cb8-866f-4122-8099-1636c23d732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4B23A11A">
      <w:pPr>
        <w:pStyle w:val="29"/>
        <w:tabs>
          <w:tab w:val="center" w:pos="4201"/>
          <w:tab w:val="right" w:leader="dot" w:pos="9298"/>
        </w:tabs>
        <w:ind w:firstLine="420"/>
      </w:pPr>
      <w:r>
        <w:rPr>
          <w:rFonts w:hint="eastAsia" w:ascii="Times New Roman"/>
          <w:kern w:val="2"/>
          <w:szCs w:val="21"/>
        </w:rPr>
        <w:t xml:space="preserve">GB 4404.1 </w:t>
      </w:r>
      <w:r>
        <w:rPr>
          <w:rFonts w:hint="eastAsia"/>
        </w:rPr>
        <w:t>粮食作物种子</w:t>
      </w:r>
      <w:r>
        <w:t xml:space="preserve"> 第1部分：禾谷类</w:t>
      </w:r>
    </w:p>
    <w:p w14:paraId="30E83013">
      <w:pPr>
        <w:pStyle w:val="29"/>
        <w:tabs>
          <w:tab w:val="center" w:pos="4201"/>
          <w:tab w:val="right" w:leader="dot" w:pos="9298"/>
        </w:tabs>
        <w:ind w:firstLine="420"/>
        <w:rPr>
          <w:rFonts w:ascii="Times New Roman"/>
          <w:kern w:val="2"/>
          <w:szCs w:val="21"/>
        </w:rPr>
      </w:pPr>
      <w:r>
        <w:rPr>
          <w:rFonts w:hint="eastAsia" w:ascii="Times New Roman"/>
          <w:kern w:val="2"/>
          <w:szCs w:val="21"/>
        </w:rPr>
        <w:t>NY/T 391  绿色食品 产地环境质量</w:t>
      </w:r>
    </w:p>
    <w:p w14:paraId="56890345">
      <w:pPr>
        <w:pStyle w:val="29"/>
        <w:tabs>
          <w:tab w:val="center" w:pos="4201"/>
          <w:tab w:val="right" w:leader="dot" w:pos="9298"/>
        </w:tabs>
        <w:ind w:firstLine="420"/>
        <w:rPr>
          <w:rFonts w:ascii="Times New Roman"/>
          <w:kern w:val="2"/>
          <w:szCs w:val="21"/>
        </w:rPr>
      </w:pPr>
      <w:r>
        <w:rPr>
          <w:rFonts w:ascii="Times New Roman"/>
          <w:kern w:val="2"/>
          <w:szCs w:val="21"/>
        </w:rPr>
        <w:t xml:space="preserve">NY/T 393  </w:t>
      </w:r>
      <w:r>
        <w:rPr>
          <w:rFonts w:hint="eastAsia" w:ascii="Times New Roman"/>
          <w:kern w:val="2"/>
          <w:szCs w:val="21"/>
        </w:rPr>
        <w:t>绿色食品</w:t>
      </w:r>
      <w:r>
        <w:rPr>
          <w:rFonts w:ascii="Times New Roman"/>
          <w:kern w:val="2"/>
          <w:szCs w:val="21"/>
        </w:rPr>
        <w:t xml:space="preserve"> </w:t>
      </w:r>
      <w:r>
        <w:rPr>
          <w:rFonts w:hint="eastAsia" w:ascii="Times New Roman"/>
          <w:kern w:val="2"/>
          <w:szCs w:val="21"/>
        </w:rPr>
        <w:t>农药使用准则</w:t>
      </w:r>
    </w:p>
    <w:p w14:paraId="614F5B03">
      <w:pPr>
        <w:pStyle w:val="29"/>
        <w:tabs>
          <w:tab w:val="center" w:pos="4201"/>
          <w:tab w:val="right" w:leader="dot" w:pos="9298"/>
        </w:tabs>
        <w:ind w:firstLine="420"/>
        <w:rPr>
          <w:rFonts w:ascii="Times New Roman"/>
          <w:kern w:val="2"/>
          <w:szCs w:val="21"/>
        </w:rPr>
      </w:pPr>
      <w:r>
        <w:rPr>
          <w:rFonts w:ascii="Times New Roman"/>
          <w:kern w:val="2"/>
          <w:szCs w:val="21"/>
        </w:rPr>
        <w:t xml:space="preserve">NY/T 394  </w:t>
      </w:r>
      <w:r>
        <w:rPr>
          <w:rFonts w:hint="eastAsia" w:ascii="Times New Roman"/>
          <w:kern w:val="2"/>
          <w:szCs w:val="21"/>
        </w:rPr>
        <w:t>绿色食品</w:t>
      </w:r>
      <w:r>
        <w:rPr>
          <w:rFonts w:ascii="Times New Roman"/>
          <w:kern w:val="2"/>
          <w:szCs w:val="21"/>
        </w:rPr>
        <w:t xml:space="preserve"> </w:t>
      </w:r>
      <w:r>
        <w:rPr>
          <w:rFonts w:hint="eastAsia" w:ascii="Times New Roman"/>
          <w:kern w:val="2"/>
          <w:szCs w:val="21"/>
        </w:rPr>
        <w:t>肥料使用准则</w:t>
      </w:r>
    </w:p>
    <w:p w14:paraId="3C635FFA">
      <w:pPr>
        <w:pStyle w:val="29"/>
        <w:tabs>
          <w:tab w:val="center" w:pos="4201"/>
          <w:tab w:val="right" w:leader="dot" w:pos="9298"/>
        </w:tabs>
        <w:ind w:firstLine="420"/>
        <w:rPr>
          <w:rFonts w:ascii="Times New Roman"/>
          <w:kern w:val="2"/>
          <w:szCs w:val="21"/>
        </w:rPr>
      </w:pPr>
      <w:r>
        <w:rPr>
          <w:rFonts w:ascii="Times New Roman"/>
          <w:kern w:val="2"/>
          <w:szCs w:val="21"/>
        </w:rPr>
        <w:t xml:space="preserve">NY/T 658  </w:t>
      </w:r>
      <w:r>
        <w:rPr>
          <w:rFonts w:hint="eastAsia" w:ascii="Times New Roman"/>
          <w:kern w:val="2"/>
          <w:szCs w:val="21"/>
        </w:rPr>
        <w:t>绿色食品</w:t>
      </w:r>
      <w:r>
        <w:rPr>
          <w:rFonts w:ascii="Times New Roman"/>
          <w:kern w:val="2"/>
          <w:szCs w:val="21"/>
        </w:rPr>
        <w:t xml:space="preserve"> </w:t>
      </w:r>
      <w:r>
        <w:rPr>
          <w:rFonts w:hint="eastAsia" w:ascii="Times New Roman"/>
          <w:kern w:val="2"/>
          <w:szCs w:val="21"/>
        </w:rPr>
        <w:t>包装通用准则</w:t>
      </w:r>
    </w:p>
    <w:p w14:paraId="4B65C426">
      <w:pPr>
        <w:pStyle w:val="29"/>
        <w:tabs>
          <w:tab w:val="center" w:pos="4201"/>
          <w:tab w:val="right" w:leader="dot" w:pos="9298"/>
        </w:tabs>
        <w:ind w:firstLine="420"/>
        <w:rPr>
          <w:rFonts w:ascii="Times New Roman"/>
          <w:kern w:val="2"/>
          <w:szCs w:val="21"/>
        </w:rPr>
      </w:pPr>
      <w:r>
        <w:rPr>
          <w:rFonts w:ascii="Times New Roman"/>
          <w:kern w:val="2"/>
          <w:szCs w:val="21"/>
        </w:rPr>
        <w:t xml:space="preserve">NY/T 1056 </w:t>
      </w:r>
      <w:r>
        <w:rPr>
          <w:rFonts w:hint="eastAsia" w:ascii="Times New Roman"/>
          <w:kern w:val="2"/>
          <w:szCs w:val="21"/>
        </w:rPr>
        <w:t>绿色食品</w:t>
      </w:r>
      <w:r>
        <w:rPr>
          <w:rFonts w:ascii="Times New Roman"/>
          <w:kern w:val="2"/>
          <w:szCs w:val="21"/>
        </w:rPr>
        <w:t xml:space="preserve"> </w:t>
      </w:r>
      <w:r>
        <w:rPr>
          <w:rFonts w:hint="eastAsia" w:ascii="Times New Roman"/>
          <w:kern w:val="2"/>
          <w:szCs w:val="21"/>
        </w:rPr>
        <w:t>储藏运输准则</w:t>
      </w:r>
    </w:p>
    <w:p w14:paraId="1A22C6D7">
      <w:pPr>
        <w:pStyle w:val="29"/>
        <w:tabs>
          <w:tab w:val="center" w:pos="4201"/>
          <w:tab w:val="right" w:leader="dot" w:pos="9298"/>
        </w:tabs>
        <w:ind w:firstLine="420"/>
        <w:rPr>
          <w:rFonts w:ascii="Times New Roman"/>
          <w:kern w:val="2"/>
          <w:szCs w:val="21"/>
        </w:rPr>
      </w:pPr>
      <w:r>
        <w:rPr>
          <w:rFonts w:ascii="Times New Roman"/>
          <w:kern w:val="2"/>
          <w:szCs w:val="21"/>
        </w:rPr>
        <w:t>NY/T 1118  测土配方施肥技术规范</w:t>
      </w:r>
    </w:p>
    <w:p w14:paraId="4332E233">
      <w:pPr>
        <w:pStyle w:val="23"/>
        <w:numPr>
          <w:ilvl w:val="0"/>
          <w:numId w:val="0"/>
        </w:numPr>
        <w:spacing w:before="312" w:after="312"/>
        <w:ind w:left="420" w:hanging="420"/>
      </w:pPr>
      <w:r>
        <w:rPr>
          <w:rFonts w:hint="eastAsia"/>
        </w:rPr>
        <w:t>3  术语和定义</w:t>
      </w:r>
    </w:p>
    <w:p w14:paraId="121C8BEE">
      <w:pPr>
        <w:rPr>
          <w:rFonts w:ascii="宋体" w:hAnsi="宋体" w:eastAsia="宋体" w:cs="仿宋"/>
          <w:bCs/>
          <w:szCs w:val="21"/>
        </w:rPr>
      </w:pPr>
      <w:r>
        <w:rPr>
          <w:rFonts w:hint="eastAsia" w:ascii="宋体" w:hAnsi="宋体" w:eastAsia="宋体" w:cs="仿宋"/>
          <w:bCs/>
          <w:szCs w:val="21"/>
        </w:rPr>
        <w:t xml:space="preserve">    下列术语和定义适用于本文件。</w:t>
      </w:r>
    </w:p>
    <w:p w14:paraId="6C30F549">
      <w:pPr>
        <w:widowControl/>
        <w:rPr>
          <w:rFonts w:ascii="黑体" w:hAnsi="黑体" w:eastAsia="黑体" w:cs="仿宋"/>
          <w:bCs/>
          <w:szCs w:val="21"/>
        </w:rPr>
      </w:pPr>
      <w:r>
        <w:rPr>
          <w:rFonts w:ascii="黑体" w:hAnsi="黑体" w:eastAsia="黑体" w:cs="仿宋"/>
          <w:bCs/>
          <w:szCs w:val="21"/>
        </w:rPr>
        <w:t xml:space="preserve">3.1 </w:t>
      </w:r>
    </w:p>
    <w:p w14:paraId="2D3EEAD4">
      <w:pPr>
        <w:widowControl/>
        <w:ind w:firstLine="420" w:firstLineChars="200"/>
        <w:rPr>
          <w:rFonts w:ascii="黑体" w:hAnsi="黑体" w:eastAsia="黑体" w:cs="仿宋"/>
          <w:bCs/>
          <w:szCs w:val="21"/>
        </w:rPr>
      </w:pPr>
      <w:r>
        <w:rPr>
          <w:rFonts w:hint="eastAsia" w:ascii="黑体" w:hAnsi="黑体" w:eastAsia="黑体" w:cs="仿宋"/>
          <w:bCs/>
          <w:szCs w:val="21"/>
        </w:rPr>
        <w:t xml:space="preserve">绿色食品  </w:t>
      </w:r>
      <w:r>
        <w:rPr>
          <w:rFonts w:hint="eastAsia" w:ascii="Times New Roman" w:hAnsi="Times New Roman" w:eastAsia="宋体" w:cs="Times New Roman"/>
          <w:szCs w:val="21"/>
        </w:rPr>
        <w:t>G</w:t>
      </w:r>
      <w:r>
        <w:rPr>
          <w:rFonts w:ascii="Times New Roman" w:hAnsi="Times New Roman" w:eastAsia="宋体" w:cs="Times New Roman"/>
          <w:szCs w:val="21"/>
        </w:rPr>
        <w:t xml:space="preserve">reen </w:t>
      </w:r>
      <w:r>
        <w:rPr>
          <w:rFonts w:hint="eastAsia" w:ascii="Times New Roman" w:hAnsi="Times New Roman" w:eastAsia="宋体" w:cs="Times New Roman"/>
          <w:szCs w:val="21"/>
        </w:rPr>
        <w:t>f</w:t>
      </w:r>
      <w:r>
        <w:rPr>
          <w:rFonts w:ascii="Times New Roman" w:hAnsi="Times New Roman" w:eastAsia="宋体" w:cs="Times New Roman"/>
          <w:szCs w:val="21"/>
        </w:rPr>
        <w:t xml:space="preserve">ood </w:t>
      </w:r>
    </w:p>
    <w:p w14:paraId="61C3A3DA">
      <w:pPr>
        <w:widowControl/>
        <w:rPr>
          <w:rFonts w:ascii="宋体" w:hAnsi="宋体" w:eastAsia="宋体" w:cs="仿宋"/>
          <w:bCs/>
          <w:szCs w:val="21"/>
        </w:rPr>
      </w:pPr>
      <w:r>
        <w:rPr>
          <w:rFonts w:hint="eastAsia" w:ascii="宋体" w:hAnsi="宋体" w:eastAsia="宋体" w:cs="仿宋"/>
          <w:bCs/>
          <w:szCs w:val="21"/>
        </w:rPr>
        <w:t xml:space="preserve">    产自优良生态环境、按照绿色食品标准生产、实行全程质量控制并获得绿色食品标志使用权的安全、优质食用农产品及相关产品。</w:t>
      </w:r>
    </w:p>
    <w:p w14:paraId="2971BE0F">
      <w:pPr>
        <w:pStyle w:val="30"/>
        <w:spacing w:before="312" w:beforeLines="100" w:after="312" w:afterLines="100"/>
        <w:ind w:firstLine="0"/>
        <w:contextualSpacing/>
        <w:rPr>
          <w:rFonts w:ascii="黑体" w:hAnsi="黑体" w:eastAsia="黑体" w:cs="仿宋"/>
          <w:bCs/>
        </w:rPr>
      </w:pPr>
      <w:r>
        <w:rPr>
          <w:rFonts w:hint="eastAsia" w:ascii="黑体" w:hAnsi="黑体" w:eastAsia="黑体" w:cs="仿宋"/>
          <w:bCs/>
        </w:rPr>
        <w:t xml:space="preserve">4  </w:t>
      </w:r>
      <w:r>
        <w:rPr>
          <w:rFonts w:ascii="黑体" w:hAnsi="黑体" w:eastAsia="黑体" w:cs="仿宋"/>
          <w:bCs/>
        </w:rPr>
        <w:t>产地环境</w:t>
      </w:r>
    </w:p>
    <w:p w14:paraId="0B951374">
      <w:pPr>
        <w:pStyle w:val="30"/>
        <w:spacing w:before="312" w:beforeLines="100" w:after="312" w:afterLines="100"/>
        <w:ind w:firstLine="0"/>
        <w:contextualSpacing/>
        <w:rPr>
          <w:rFonts w:ascii="黑体" w:hAnsi="黑体" w:eastAsia="黑体" w:cs="仿宋"/>
          <w:bCs/>
        </w:rPr>
      </w:pPr>
    </w:p>
    <w:p w14:paraId="7117FFFC">
      <w:pPr>
        <w:pStyle w:val="30"/>
        <w:ind w:firstLine="0"/>
        <w:contextualSpacing/>
        <w:rPr>
          <w:rFonts w:ascii="黑体" w:hAnsi="黑体" w:eastAsia="黑体" w:cs="仿宋"/>
          <w:bCs/>
        </w:rPr>
      </w:pPr>
      <w:r>
        <w:rPr>
          <w:rFonts w:hint="eastAsia" w:ascii="黑体" w:hAnsi="黑体" w:eastAsia="黑体" w:cs="仿宋"/>
          <w:bCs/>
        </w:rPr>
        <w:t>4</w:t>
      </w:r>
      <w:r>
        <w:rPr>
          <w:rFonts w:ascii="黑体" w:hAnsi="黑体" w:eastAsia="黑体" w:cs="仿宋"/>
          <w:bCs/>
        </w:rPr>
        <w:t>.</w:t>
      </w:r>
      <w:r>
        <w:rPr>
          <w:rFonts w:hint="eastAsia" w:ascii="黑体" w:hAnsi="黑体" w:eastAsia="黑体" w:cs="仿宋"/>
          <w:bCs/>
        </w:rPr>
        <w:t xml:space="preserve">1  </w:t>
      </w:r>
      <w:r>
        <w:rPr>
          <w:rFonts w:ascii="黑体" w:hAnsi="黑体" w:eastAsia="黑体" w:cs="仿宋"/>
          <w:bCs/>
        </w:rPr>
        <w:t>气候条件</w:t>
      </w:r>
    </w:p>
    <w:p w14:paraId="40C46540">
      <w:pPr>
        <w:spacing w:line="360" w:lineRule="auto"/>
        <w:ind w:firstLine="420" w:firstLineChars="200"/>
        <w:rPr>
          <w:rFonts w:ascii="宋体" w:hAnsi="宋体" w:eastAsia="宋体"/>
        </w:rPr>
      </w:pPr>
      <w:r>
        <w:rPr>
          <w:rFonts w:hint="eastAsia" w:ascii="宋体" w:hAnsi="宋体" w:eastAsia="宋体"/>
        </w:rPr>
        <w:t>年≥10℃活动积温宜在2100℃以上，年降雨量在350mm以上。</w:t>
      </w:r>
    </w:p>
    <w:p w14:paraId="496D2815">
      <w:pPr>
        <w:pStyle w:val="30"/>
        <w:ind w:firstLine="0"/>
        <w:contextualSpacing/>
        <w:rPr>
          <w:rFonts w:ascii="黑体" w:hAnsi="黑体" w:eastAsia="黑体" w:cs="仿宋"/>
          <w:bCs/>
        </w:rPr>
      </w:pPr>
      <w:r>
        <w:rPr>
          <w:rFonts w:hint="eastAsia" w:ascii="黑体" w:hAnsi="黑体" w:eastAsia="黑体" w:cs="仿宋"/>
          <w:bCs/>
        </w:rPr>
        <w:t>4</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土壤条件</w:t>
      </w:r>
    </w:p>
    <w:p w14:paraId="7BA793AE">
      <w:pPr>
        <w:spacing w:line="360" w:lineRule="auto"/>
        <w:ind w:firstLine="420" w:firstLineChars="200"/>
        <w:rPr>
          <w:rFonts w:ascii="宋体" w:hAnsi="宋体" w:eastAsia="宋体"/>
        </w:rPr>
      </w:pPr>
      <w:r>
        <w:rPr>
          <w:rFonts w:hint="eastAsia" w:ascii="宋体" w:hAnsi="宋体" w:eastAsia="宋体"/>
        </w:rPr>
        <w:t>宜选用集中连片、地势平坦、排灌方便、耕层深厚肥沃、理化性状和耕性良好的土壤，</w:t>
      </w:r>
      <w:r>
        <w:rPr>
          <w:rFonts w:ascii="宋体" w:hAnsi="宋体" w:eastAsia="宋体"/>
          <w:szCs w:val="21"/>
        </w:rPr>
        <w:t xml:space="preserve"> pH</w:t>
      </w:r>
      <w:r>
        <w:rPr>
          <w:rFonts w:hint="eastAsia" w:ascii="宋体" w:hAnsi="宋体" w:eastAsia="宋体"/>
          <w:szCs w:val="21"/>
        </w:rPr>
        <w:t>宜在</w:t>
      </w:r>
      <w:r>
        <w:rPr>
          <w:rFonts w:ascii="宋体" w:hAnsi="宋体" w:eastAsia="宋体"/>
          <w:szCs w:val="21"/>
        </w:rPr>
        <w:t>6.5~7.5</w:t>
      </w:r>
      <w:r>
        <w:rPr>
          <w:rFonts w:hint="eastAsia" w:ascii="宋体" w:hAnsi="宋体" w:eastAsia="宋体"/>
          <w:szCs w:val="21"/>
        </w:rPr>
        <w:t>之间。</w:t>
      </w:r>
    </w:p>
    <w:p w14:paraId="66D9632F">
      <w:pPr>
        <w:pStyle w:val="30"/>
        <w:ind w:firstLine="0"/>
        <w:contextualSpacing/>
        <w:rPr>
          <w:rFonts w:ascii="黑体" w:hAnsi="黑体" w:eastAsia="黑体" w:cs="仿宋"/>
          <w:bCs/>
        </w:rPr>
      </w:pPr>
      <w:r>
        <w:rPr>
          <w:rFonts w:hint="eastAsia" w:ascii="黑体" w:hAnsi="黑体" w:eastAsia="黑体" w:cs="仿宋"/>
          <w:bCs/>
        </w:rPr>
        <w:t>4</w:t>
      </w:r>
      <w:r>
        <w:rPr>
          <w:rFonts w:ascii="黑体" w:hAnsi="黑体" w:eastAsia="黑体" w:cs="仿宋"/>
          <w:bCs/>
        </w:rPr>
        <w:t>.3</w:t>
      </w:r>
      <w:r>
        <w:rPr>
          <w:rFonts w:hint="eastAsia" w:ascii="黑体" w:hAnsi="黑体" w:eastAsia="黑体" w:cs="仿宋"/>
          <w:bCs/>
        </w:rPr>
        <w:t xml:space="preserve">  </w:t>
      </w:r>
      <w:r>
        <w:rPr>
          <w:rFonts w:ascii="黑体" w:hAnsi="黑体" w:eastAsia="黑体" w:cs="仿宋"/>
          <w:bCs/>
        </w:rPr>
        <w:t>产地环境质量</w:t>
      </w:r>
    </w:p>
    <w:p w14:paraId="3CBEEE59">
      <w:pPr>
        <w:pStyle w:val="29"/>
        <w:tabs>
          <w:tab w:val="center" w:pos="4201"/>
          <w:tab w:val="right" w:leader="dot" w:pos="9298"/>
        </w:tabs>
        <w:ind w:firstLine="420"/>
        <w:rPr>
          <w:rFonts w:ascii="Times New Roman"/>
          <w:kern w:val="2"/>
          <w:szCs w:val="21"/>
        </w:rPr>
      </w:pPr>
      <w:r>
        <w:rPr>
          <w:rFonts w:ascii="Times New Roman"/>
          <w:kern w:val="2"/>
          <w:szCs w:val="21"/>
        </w:rPr>
        <w:t>土壤、灌溉水质和大气质量应符合NY/T 391的规定。</w:t>
      </w:r>
    </w:p>
    <w:p w14:paraId="03CA91DF">
      <w:pPr>
        <w:pStyle w:val="29"/>
        <w:tabs>
          <w:tab w:val="center" w:pos="4201"/>
          <w:tab w:val="right" w:leader="dot" w:pos="9298"/>
        </w:tabs>
        <w:rPr>
          <w:rFonts w:ascii="Times New Roman"/>
          <w:kern w:val="2"/>
          <w:szCs w:val="21"/>
        </w:rPr>
      </w:pPr>
    </w:p>
    <w:p w14:paraId="0D4ABAB5">
      <w:pPr>
        <w:pStyle w:val="30"/>
        <w:ind w:firstLine="0"/>
        <w:contextualSpacing/>
        <w:rPr>
          <w:rFonts w:ascii="黑体" w:hAnsi="黑体" w:eastAsia="黑体" w:cs="仿宋"/>
          <w:bCs/>
        </w:rPr>
      </w:pPr>
      <w:r>
        <w:rPr>
          <w:rFonts w:hint="eastAsia" w:ascii="黑体" w:hAnsi="黑体" w:eastAsia="黑体" w:cs="仿宋"/>
          <w:bCs/>
        </w:rPr>
        <w:t xml:space="preserve">5  </w:t>
      </w:r>
      <w:r>
        <w:rPr>
          <w:rFonts w:ascii="黑体" w:hAnsi="黑体" w:eastAsia="黑体" w:cs="仿宋"/>
          <w:bCs/>
        </w:rPr>
        <w:t>品种选择</w:t>
      </w:r>
    </w:p>
    <w:p w14:paraId="06E9690E">
      <w:pPr>
        <w:pStyle w:val="30"/>
        <w:ind w:firstLine="0"/>
        <w:contextualSpacing/>
        <w:rPr>
          <w:rFonts w:ascii="黑体" w:hAnsi="黑体" w:eastAsia="黑体" w:cs="仿宋"/>
          <w:bCs/>
        </w:rPr>
      </w:pPr>
    </w:p>
    <w:p w14:paraId="436FF383">
      <w:pPr>
        <w:pStyle w:val="30"/>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选择原则</w:t>
      </w:r>
    </w:p>
    <w:p w14:paraId="38DDAF9F">
      <w:pPr>
        <w:pStyle w:val="29"/>
        <w:tabs>
          <w:tab w:val="center" w:pos="4201"/>
          <w:tab w:val="right" w:leader="dot" w:pos="9298"/>
        </w:tabs>
        <w:ind w:firstLine="420"/>
        <w:rPr>
          <w:rFonts w:hAnsi="宋体"/>
          <w:bCs/>
          <w:szCs w:val="21"/>
        </w:rPr>
      </w:pPr>
      <w:r>
        <w:rPr>
          <w:rFonts w:ascii="Times New Roman"/>
          <w:kern w:val="2"/>
          <w:szCs w:val="21"/>
        </w:rPr>
        <w:t>根据当地的生态条件，因地制宜</w:t>
      </w:r>
      <w:r>
        <w:rPr>
          <w:rFonts w:hint="eastAsia" w:ascii="Times New Roman"/>
          <w:kern w:val="2"/>
          <w:szCs w:val="21"/>
        </w:rPr>
        <w:t>选择经国家或省级推广的</w:t>
      </w:r>
      <w:r>
        <w:rPr>
          <w:rFonts w:hint="eastAsia" w:hAnsi="宋体"/>
          <w:bCs/>
          <w:szCs w:val="21"/>
        </w:rPr>
        <w:t>高产、优质、耐密、抗逆、适合机械化生产等综合性状好，适宜当地生态条件的非转基因玉米优良品种。</w:t>
      </w:r>
    </w:p>
    <w:p w14:paraId="2BA74818">
      <w:pPr>
        <w:pStyle w:val="29"/>
        <w:tabs>
          <w:tab w:val="center" w:pos="4201"/>
          <w:tab w:val="right" w:leader="dot" w:pos="9298"/>
        </w:tabs>
        <w:ind w:firstLine="0" w:firstLineChars="0"/>
        <w:rPr>
          <w:rFonts w:ascii="黑体" w:hAnsi="黑体" w:eastAsia="黑体" w:cs="仿宋"/>
          <w:bCs/>
        </w:rPr>
      </w:pPr>
      <w:r>
        <w:rPr>
          <w:rFonts w:hint="eastAsia" w:ascii="黑体" w:hAnsi="黑体" w:eastAsia="黑体" w:cs="仿宋"/>
          <w:bCs/>
        </w:rPr>
        <w:t>5</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品种选用</w:t>
      </w:r>
    </w:p>
    <w:p w14:paraId="4B8598AF">
      <w:pPr>
        <w:pStyle w:val="31"/>
        <w:tabs>
          <w:tab w:val="left" w:pos="420"/>
          <w:tab w:val="clear" w:pos="360"/>
        </w:tabs>
        <w:spacing w:line="360" w:lineRule="auto"/>
        <w:ind w:firstLine="420" w:firstLineChars="200"/>
        <w:rPr>
          <w:szCs w:val="21"/>
        </w:rPr>
      </w:pPr>
      <w:r>
        <w:rPr>
          <w:rFonts w:hint="eastAsia"/>
          <w:szCs w:val="21"/>
        </w:rPr>
        <w:t>内蒙古自治区推荐选用大民3307、先玉335、先玉696、伟科702、华农101、德美亚1号、京科968、利合1号、罕玉5号、西盟6号、NK718等品种；</w:t>
      </w:r>
    </w:p>
    <w:p w14:paraId="5F3F54DA">
      <w:pPr>
        <w:pStyle w:val="31"/>
        <w:tabs>
          <w:tab w:val="clear" w:pos="360"/>
        </w:tabs>
        <w:spacing w:line="360" w:lineRule="auto"/>
        <w:ind w:firstLine="420" w:firstLineChars="200"/>
        <w:rPr>
          <w:szCs w:val="21"/>
        </w:rPr>
      </w:pPr>
      <w:r>
        <w:rPr>
          <w:rFonts w:hint="eastAsia"/>
          <w:szCs w:val="21"/>
        </w:rPr>
        <w:t>吉林省推荐选用良玉99、富民58、京科968、翔玉211、禾育9、优迪919、延科288、雄玉581、裕丰303、翔玉998、先玉335等品种；</w:t>
      </w:r>
    </w:p>
    <w:p w14:paraId="1BA722E3">
      <w:pPr>
        <w:pStyle w:val="31"/>
        <w:tabs>
          <w:tab w:val="clear" w:pos="360"/>
        </w:tabs>
        <w:spacing w:line="360" w:lineRule="auto"/>
        <w:ind w:firstLine="420" w:firstLineChars="200"/>
        <w:rPr>
          <w:szCs w:val="21"/>
        </w:rPr>
      </w:pPr>
      <w:r>
        <w:rPr>
          <w:rFonts w:hint="eastAsia"/>
          <w:szCs w:val="21"/>
        </w:rPr>
        <w:t>辽宁省推荐选用辽单565、良玉88、良玉99、郑单958、先玉335、沈玉21、丹玉405、辽单588、东单6531、金博士717、金博士963、金博士乐农18等品种；</w:t>
      </w:r>
    </w:p>
    <w:p w14:paraId="75F22352">
      <w:pPr>
        <w:pStyle w:val="29"/>
        <w:ind w:firstLine="420"/>
        <w:rPr>
          <w:szCs w:val="21"/>
        </w:rPr>
      </w:pPr>
      <w:r>
        <w:rPr>
          <w:rFonts w:hint="eastAsia"/>
          <w:szCs w:val="21"/>
        </w:rPr>
        <w:t>黑龙江省推荐选用先玉335、吉龙2号、先玉696、鑫鑫2号、大民3307、嫩单18、庆单6、绥育23、龙单76、绿单2号、龙单38、东农254、禾田4号、德美亚3号、龙单59、瑞福尔1号、东农257、克玉16、鑫科玉1号、德美亚1号、华美2号等品种。</w:t>
      </w:r>
    </w:p>
    <w:p w14:paraId="6541FE38">
      <w:pPr>
        <w:pStyle w:val="30"/>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.3</w:t>
      </w:r>
      <w:r>
        <w:rPr>
          <w:rFonts w:hint="eastAsia" w:ascii="黑体" w:hAnsi="黑体" w:eastAsia="黑体" w:cs="仿宋"/>
          <w:bCs/>
        </w:rPr>
        <w:t xml:space="preserve">  </w:t>
      </w:r>
      <w:r>
        <w:rPr>
          <w:rFonts w:ascii="黑体" w:hAnsi="黑体" w:eastAsia="黑体" w:cs="仿宋"/>
          <w:bCs/>
        </w:rPr>
        <w:t>种子</w:t>
      </w:r>
      <w:r>
        <w:rPr>
          <w:rFonts w:hint="eastAsia" w:ascii="黑体" w:hAnsi="黑体" w:eastAsia="黑体" w:cs="仿宋"/>
          <w:bCs/>
        </w:rPr>
        <w:t>质量</w:t>
      </w:r>
    </w:p>
    <w:p w14:paraId="2FC286E2">
      <w:pPr>
        <w:spacing w:line="360" w:lineRule="auto"/>
        <w:ind w:firstLine="420" w:firstLineChars="200"/>
        <w:rPr>
          <w:rFonts w:ascii="宋体" w:hAnsi="宋体" w:eastAsia="宋体"/>
          <w:bCs/>
          <w:szCs w:val="21"/>
        </w:rPr>
      </w:pPr>
      <w:r>
        <w:rPr>
          <w:rFonts w:hint="eastAsia" w:ascii="宋体" w:hAnsi="宋体" w:eastAsia="宋体" w:cs="Times New Roman"/>
          <w:bCs/>
          <w:szCs w:val="21"/>
        </w:rPr>
        <w:t>种子质量符合GB 4404.1 的规定。纯度不低于98%，净度不低于98%，含水量不高于16%，发芽率90%以上。购买已包衣的种子，其种衣剂选用必须符合NY/T 393的规定。</w:t>
      </w:r>
      <w:bookmarkStart w:id="0" w:name="OLE_LINK23"/>
      <w:bookmarkStart w:id="1" w:name="OLE_LINK22"/>
    </w:p>
    <w:p w14:paraId="54BD4C17">
      <w:pPr>
        <w:spacing w:line="360" w:lineRule="auto"/>
        <w:rPr>
          <w:rFonts w:ascii="宋体" w:hAnsi="宋体" w:eastAsia="宋体"/>
          <w:bCs/>
          <w:szCs w:val="21"/>
        </w:rPr>
      </w:pPr>
      <w:r>
        <w:rPr>
          <w:rFonts w:hint="eastAsia" w:ascii="黑体" w:hAnsi="黑体" w:eastAsia="黑体" w:cs="仿宋"/>
          <w:bCs/>
        </w:rPr>
        <w:t>5</w:t>
      </w:r>
      <w:r>
        <w:rPr>
          <w:rFonts w:ascii="黑体" w:hAnsi="黑体" w:eastAsia="黑体" w:cs="仿宋"/>
          <w:bCs/>
        </w:rPr>
        <w:t>.</w:t>
      </w:r>
      <w:r>
        <w:rPr>
          <w:rFonts w:hint="eastAsia" w:ascii="黑体" w:hAnsi="黑体" w:eastAsia="黑体" w:cs="仿宋"/>
          <w:bCs/>
        </w:rPr>
        <w:t xml:space="preserve">4  </w:t>
      </w:r>
      <w:r>
        <w:rPr>
          <w:rFonts w:ascii="黑体" w:hAnsi="黑体" w:eastAsia="黑体" w:cs="仿宋"/>
          <w:bCs/>
        </w:rPr>
        <w:t>种子处理</w:t>
      </w:r>
    </w:p>
    <w:bookmarkEnd w:id="0"/>
    <w:bookmarkEnd w:id="1"/>
    <w:p w14:paraId="7D1CECD6">
      <w:pPr>
        <w:pStyle w:val="30"/>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w:t>
      </w:r>
      <w:r>
        <w:rPr>
          <w:rFonts w:hint="eastAsia" w:ascii="黑体" w:hAnsi="黑体" w:eastAsia="黑体" w:cs="仿宋"/>
          <w:bCs/>
        </w:rPr>
        <w:t>4</w:t>
      </w:r>
      <w:r>
        <w:rPr>
          <w:rFonts w:ascii="黑体" w:hAnsi="黑体" w:eastAsia="黑体" w:cs="仿宋"/>
          <w:bCs/>
        </w:rPr>
        <w:t>.</w:t>
      </w:r>
      <w:r>
        <w:rPr>
          <w:rFonts w:hint="eastAsia" w:ascii="黑体" w:hAnsi="黑体" w:eastAsia="黑体" w:cs="仿宋"/>
          <w:bCs/>
        </w:rPr>
        <w:t xml:space="preserve">1  </w:t>
      </w:r>
      <w:r>
        <w:rPr>
          <w:rFonts w:ascii="黑体" w:hAnsi="黑体" w:eastAsia="黑体" w:cs="仿宋"/>
          <w:bCs/>
        </w:rPr>
        <w:t>精选种子</w:t>
      </w:r>
    </w:p>
    <w:p w14:paraId="59B6CFD1">
      <w:pPr>
        <w:spacing w:line="360" w:lineRule="auto"/>
        <w:ind w:firstLine="420" w:firstLineChars="200"/>
        <w:rPr>
          <w:rFonts w:ascii="宋体" w:hAnsi="宋体" w:eastAsia="宋体"/>
          <w:bCs/>
          <w:szCs w:val="21"/>
        </w:rPr>
      </w:pPr>
      <w:bookmarkStart w:id="2" w:name="OLE_LINK26"/>
      <w:bookmarkStart w:id="3" w:name="OLE_LINK27"/>
      <w:r>
        <w:rPr>
          <w:rFonts w:hint="eastAsia" w:ascii="宋体" w:hAnsi="宋体" w:eastAsia="宋体"/>
          <w:bCs/>
          <w:szCs w:val="21"/>
        </w:rPr>
        <w:t>播种前要进行精选种子，剔除病斑粒、虫蚀粒、破碎粒等不合格种子和杂质。</w:t>
      </w:r>
      <w:bookmarkEnd w:id="2"/>
      <w:bookmarkEnd w:id="3"/>
    </w:p>
    <w:p w14:paraId="554F6B5A">
      <w:pPr>
        <w:pStyle w:val="30"/>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w:t>
      </w:r>
      <w:r>
        <w:rPr>
          <w:rFonts w:hint="eastAsia" w:ascii="黑体" w:hAnsi="黑体" w:eastAsia="黑体" w:cs="仿宋"/>
          <w:bCs/>
        </w:rPr>
        <w:t>4</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晒种</w:t>
      </w:r>
    </w:p>
    <w:p w14:paraId="62D64125">
      <w:pPr>
        <w:spacing w:line="360" w:lineRule="auto"/>
        <w:ind w:firstLine="420" w:firstLineChars="200"/>
        <w:rPr>
          <w:rFonts w:ascii="宋体" w:hAnsi="宋体" w:eastAsia="宋体"/>
          <w:bCs/>
          <w:szCs w:val="21"/>
        </w:rPr>
      </w:pPr>
      <w:bookmarkStart w:id="4" w:name="OLE_LINK30"/>
      <w:bookmarkStart w:id="5" w:name="OLE_LINK29"/>
      <w:r>
        <w:rPr>
          <w:rFonts w:hint="eastAsia" w:ascii="宋体" w:hAnsi="宋体" w:eastAsia="宋体"/>
          <w:bCs/>
          <w:szCs w:val="21"/>
        </w:rPr>
        <w:t>播前10d～15d，选择晴朗微风天气，将种子摊在干燥向阳的地面或席上，晾晒2d～3d，并经常翻动，白天晾晒、晚上收起。</w:t>
      </w:r>
      <w:bookmarkEnd w:id="4"/>
      <w:bookmarkEnd w:id="5"/>
    </w:p>
    <w:p w14:paraId="508E2665">
      <w:pPr>
        <w:spacing w:line="360" w:lineRule="auto"/>
        <w:rPr>
          <w:rFonts w:ascii="黑体" w:hAnsi="黑体" w:eastAsia="黑体"/>
        </w:rPr>
      </w:pPr>
      <w:r>
        <w:rPr>
          <w:rFonts w:hint="eastAsia" w:ascii="黑体" w:hAnsi="黑体" w:eastAsia="黑体" w:cs="仿宋"/>
          <w:bCs/>
        </w:rPr>
        <w:t>5</w:t>
      </w:r>
      <w:r>
        <w:rPr>
          <w:rFonts w:ascii="黑体" w:hAnsi="黑体" w:eastAsia="黑体" w:cs="仿宋"/>
          <w:bCs/>
        </w:rPr>
        <w:t>.</w:t>
      </w:r>
      <w:r>
        <w:rPr>
          <w:rFonts w:hint="eastAsia" w:ascii="黑体" w:hAnsi="黑体" w:eastAsia="黑体" w:cs="仿宋"/>
          <w:bCs/>
        </w:rPr>
        <w:t>4</w:t>
      </w:r>
      <w:r>
        <w:rPr>
          <w:rFonts w:ascii="黑体" w:hAnsi="黑体" w:eastAsia="黑体" w:cs="仿宋"/>
          <w:bCs/>
        </w:rPr>
        <w:t>.3</w:t>
      </w:r>
      <w:r>
        <w:rPr>
          <w:rFonts w:hint="eastAsia" w:ascii="黑体" w:hAnsi="黑体" w:eastAsia="黑体" w:cs="仿宋"/>
          <w:bCs/>
        </w:rPr>
        <w:t xml:space="preserve">  </w:t>
      </w:r>
      <w:bookmarkStart w:id="6" w:name="OLE_LINK32"/>
      <w:bookmarkStart w:id="7" w:name="OLE_LINK33"/>
      <w:r>
        <w:rPr>
          <w:rFonts w:hint="eastAsia" w:ascii="黑体" w:hAnsi="黑体" w:eastAsia="黑体" w:cs="Times New Roman"/>
        </w:rPr>
        <w:t>种子包衣</w:t>
      </w:r>
      <w:bookmarkEnd w:id="6"/>
      <w:bookmarkEnd w:id="7"/>
    </w:p>
    <w:p w14:paraId="7863D77D">
      <w:pPr>
        <w:spacing w:line="360" w:lineRule="auto"/>
        <w:ind w:firstLine="420" w:firstLineChars="200"/>
        <w:rPr>
          <w:rFonts w:ascii="宋体" w:hAnsi="宋体" w:eastAsia="宋体" w:cs="Times New Roman"/>
          <w:color w:val="000000"/>
        </w:rPr>
      </w:pPr>
      <w:r>
        <w:rPr>
          <w:rFonts w:hint="eastAsia" w:ascii="宋体" w:hAnsi="宋体" w:eastAsia="宋体" w:cs="Times New Roman"/>
          <w:bCs/>
          <w:color w:val="000000"/>
          <w:szCs w:val="21"/>
        </w:rPr>
        <w:t>种衣剂的选用符合NY/T 393 附录A的要求，按照产品说明书进行包衣操作。</w:t>
      </w:r>
    </w:p>
    <w:p w14:paraId="294EDEB5">
      <w:pPr>
        <w:spacing w:line="360" w:lineRule="auto"/>
        <w:ind w:firstLine="420" w:firstLineChars="200"/>
        <w:rPr>
          <w:rFonts w:ascii="宋体" w:hAnsi="宋体" w:eastAsia="宋体" w:cs="Times New Roman"/>
          <w:bCs/>
          <w:color w:val="000000"/>
          <w:szCs w:val="21"/>
        </w:rPr>
      </w:pPr>
      <w:r>
        <w:rPr>
          <w:rFonts w:hint="eastAsia" w:ascii="宋体" w:hAnsi="宋体" w:eastAsia="宋体" w:cs="Times New Roman"/>
          <w:bCs/>
          <w:color w:val="000000"/>
          <w:szCs w:val="21"/>
        </w:rPr>
        <w:t>防治蛴螬、金针虫、蝼蛄等地下害虫，可选用3%辛硫磷水乳种衣剂，按药种比1:30～40进行种子包衣。</w:t>
      </w:r>
    </w:p>
    <w:p w14:paraId="51C288D0">
      <w:pPr>
        <w:spacing w:line="360" w:lineRule="auto"/>
        <w:ind w:firstLine="420" w:firstLineChars="200"/>
        <w:rPr>
          <w:rFonts w:ascii="宋体" w:hAnsi="宋体" w:eastAsia="宋体"/>
          <w:bCs/>
          <w:color w:val="000000" w:themeColor="text1"/>
          <w:szCs w:val="21"/>
          <w14:textFill>
            <w14:solidFill>
              <w14:schemeClr w14:val="tx1"/>
            </w14:solidFill>
          </w14:textFill>
        </w:rPr>
      </w:pPr>
      <w:r>
        <w:rPr>
          <w:rFonts w:hint="eastAsia" w:ascii="宋体" w:hAnsi="宋体" w:eastAsia="宋体" w:cs="Times New Roman"/>
          <w:bCs/>
          <w:color w:val="000000"/>
          <w:szCs w:val="21"/>
        </w:rPr>
        <w:t>防治丝黑穗病和金针虫，可选用6.5%戊•氯•吡虫啉悬浮种衣剂，按药种比1:70～80进行种子包衣。</w:t>
      </w:r>
    </w:p>
    <w:p w14:paraId="2F078335">
      <w:pPr>
        <w:pStyle w:val="34"/>
        <w:tabs>
          <w:tab w:val="clear" w:pos="2160"/>
        </w:tabs>
        <w:spacing w:beforeLines="0" w:afterLines="0" w:line="360" w:lineRule="auto"/>
        <w:ind w:left="0" w:firstLine="0"/>
      </w:pPr>
      <w:r>
        <w:rPr>
          <w:rFonts w:hint="eastAsia"/>
        </w:rPr>
        <w:t>5.4.4  发芽率测定</w:t>
      </w:r>
    </w:p>
    <w:p w14:paraId="4E415475">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播种前进行发芽试验，测定种子发芽率，应达到90%以上。</w:t>
      </w:r>
    </w:p>
    <w:p w14:paraId="3B51DBEE">
      <w:pPr>
        <w:pStyle w:val="30"/>
        <w:ind w:firstLine="0"/>
        <w:contextualSpacing/>
        <w:rPr>
          <w:rFonts w:ascii="黑体" w:hAnsi="黑体" w:eastAsia="黑体" w:cs="仿宋"/>
          <w:bCs/>
        </w:rPr>
      </w:pPr>
      <w:bookmarkStart w:id="8" w:name="OLE_LINK44"/>
      <w:bookmarkStart w:id="9" w:name="OLE_LINK43"/>
      <w:r>
        <w:rPr>
          <w:rFonts w:hint="eastAsia" w:ascii="黑体" w:hAnsi="黑体" w:eastAsia="黑体" w:cs="仿宋"/>
          <w:bCs/>
        </w:rPr>
        <w:t xml:space="preserve">6  </w:t>
      </w:r>
      <w:r>
        <w:rPr>
          <w:rFonts w:ascii="黑体" w:hAnsi="黑体" w:eastAsia="黑体" w:cs="仿宋"/>
          <w:bCs/>
        </w:rPr>
        <w:t>整地</w:t>
      </w:r>
      <w:r>
        <w:rPr>
          <w:rFonts w:hint="eastAsia" w:ascii="黑体" w:hAnsi="黑体" w:eastAsia="黑体" w:cs="仿宋"/>
          <w:bCs/>
        </w:rPr>
        <w:t>与</w:t>
      </w:r>
      <w:r>
        <w:rPr>
          <w:rFonts w:ascii="黑体" w:hAnsi="黑体" w:eastAsia="黑体" w:cs="仿宋"/>
          <w:bCs/>
        </w:rPr>
        <w:t>播种</w:t>
      </w:r>
    </w:p>
    <w:bookmarkEnd w:id="8"/>
    <w:bookmarkEnd w:id="9"/>
    <w:p w14:paraId="4E6F019E">
      <w:pPr>
        <w:pStyle w:val="30"/>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.1</w:t>
      </w:r>
      <w:r>
        <w:rPr>
          <w:rFonts w:hint="eastAsia" w:ascii="黑体" w:hAnsi="黑体" w:eastAsia="黑体" w:cs="仿宋"/>
          <w:bCs/>
        </w:rPr>
        <w:t xml:space="preserve">  选</w:t>
      </w:r>
      <w:r>
        <w:rPr>
          <w:rFonts w:ascii="黑体" w:hAnsi="黑体" w:eastAsia="黑体" w:cs="仿宋"/>
          <w:bCs/>
        </w:rPr>
        <w:t>地</w:t>
      </w:r>
    </w:p>
    <w:p w14:paraId="139DE12B">
      <w:pPr>
        <w:spacing w:line="360" w:lineRule="auto"/>
        <w:ind w:firstLine="420" w:firstLineChars="200"/>
        <w:rPr>
          <w:rFonts w:ascii="宋体" w:hAnsi="宋体" w:eastAsia="宋体"/>
          <w:bCs/>
          <w:szCs w:val="21"/>
        </w:rPr>
      </w:pPr>
      <w:r>
        <w:rPr>
          <w:rFonts w:hint="eastAsia" w:ascii="宋体" w:hAnsi="宋体" w:eastAsia="宋体"/>
          <w:bCs/>
          <w:szCs w:val="21"/>
        </w:rPr>
        <w:t>选择地势平坦，耕层深厚，肥力较高，保水保肥性能好，排灌方便的地块。应进行合理轮作，选择大豆、小麦、马铃薯或肥沃的玉米等茬口。</w:t>
      </w:r>
    </w:p>
    <w:p w14:paraId="2AD3EF23">
      <w:pPr>
        <w:pStyle w:val="30"/>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w:t>
      </w:r>
      <w:r>
        <w:rPr>
          <w:rFonts w:hint="eastAsia" w:ascii="黑体" w:hAnsi="黑体" w:eastAsia="黑体" w:cs="仿宋"/>
          <w:bCs/>
        </w:rPr>
        <w:t xml:space="preserve">  耕整地</w:t>
      </w:r>
    </w:p>
    <w:p w14:paraId="1F89D441">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实施以大马力拖拉机配套多功能联合整地机械为载体，以深松为基础，松、翻、耙、压相结合的少（免）耕土壤耕作制。</w:t>
      </w:r>
    </w:p>
    <w:p w14:paraId="05A0807B">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有深松或深翻基础的地块，秋整地可采取耙茬或浅翻、深松整地技术。深松以打破犁底层为原则，深松深度一般30cm～35cm，耙茬或浅翻、深松、夹肥、按要求垄距起垄连续作业，起垄后及时镇压。无深松和深翻地块，三年伏翻或秋翻一次，耕翻深度25cm～28cm，做到无漏耕、无立垡、无坷垃，翻后耙耢，按种植要求垄距及时起垄或夹肥起垄镇压。</w:t>
      </w:r>
    </w:p>
    <w:p w14:paraId="796DB15E">
      <w:pPr>
        <w:spacing w:line="360" w:lineRule="auto"/>
        <w:ind w:firstLine="420" w:firstLineChars="200"/>
        <w:rPr>
          <w:rFonts w:ascii="宋体" w:hAnsi="宋体" w:eastAsia="宋体"/>
          <w:bCs/>
          <w:szCs w:val="21"/>
        </w:rPr>
      </w:pPr>
      <w:r>
        <w:rPr>
          <w:rFonts w:hint="eastAsia" w:ascii="宋体" w:hAnsi="宋体" w:eastAsia="宋体" w:cs="Times New Roman"/>
          <w:bCs/>
          <w:szCs w:val="21"/>
        </w:rPr>
        <w:t>春整地地块，可采取灭茬旋耕整地。灭茬旋耕、夹肥起垄、镇压连续作业，达到播种状态。灭茬7cm～8cm，旋耕10cm～15cm。</w:t>
      </w:r>
    </w:p>
    <w:p w14:paraId="003A5651">
      <w:pPr>
        <w:pStyle w:val="30"/>
        <w:ind w:firstLine="0"/>
        <w:contextualSpacing/>
        <w:rPr>
          <w:rFonts w:ascii="黑体" w:hAnsi="黑体" w:eastAsia="黑体" w:cs="仿宋"/>
          <w:bCs/>
        </w:rPr>
      </w:pPr>
      <w:r>
        <w:rPr>
          <w:rFonts w:hint="eastAsia" w:ascii="黑体" w:hAnsi="黑体" w:eastAsia="黑体" w:cs="仿宋"/>
          <w:bCs/>
        </w:rPr>
        <w:t>7  播种</w:t>
      </w:r>
    </w:p>
    <w:p w14:paraId="590E1BF2">
      <w:pPr>
        <w:pStyle w:val="36"/>
        <w:tabs>
          <w:tab w:val="clear" w:pos="1440"/>
        </w:tabs>
        <w:spacing w:beforeLines="0" w:afterLines="0" w:line="360" w:lineRule="auto"/>
        <w:ind w:left="0" w:firstLine="0"/>
      </w:pPr>
      <w:r>
        <w:rPr>
          <w:rFonts w:hint="eastAsia"/>
        </w:rPr>
        <w:t>7.1播期</w:t>
      </w:r>
    </w:p>
    <w:p w14:paraId="0D52E770">
      <w:pPr>
        <w:spacing w:line="360" w:lineRule="auto"/>
        <w:ind w:firstLine="420" w:firstLineChars="200"/>
        <w:rPr>
          <w:rFonts w:ascii="宋体" w:hAnsi="宋体" w:eastAsia="宋体"/>
          <w:bCs/>
          <w:szCs w:val="21"/>
        </w:rPr>
      </w:pPr>
      <w:r>
        <w:rPr>
          <w:rFonts w:hint="eastAsia" w:ascii="宋体" w:hAnsi="宋体" w:eastAsia="宋体" w:cs="Times New Roman"/>
          <w:bCs/>
          <w:szCs w:val="21"/>
        </w:rPr>
        <w:t>4月中旬～5月上旬，当5cm～10cm耕层地温稳定通过7℃～8℃ 时，可抢墒播种，并可根据当年地温、土壤墒情、终霜期等因素的变化适当调整播期。</w:t>
      </w:r>
    </w:p>
    <w:p w14:paraId="4085715B">
      <w:pPr>
        <w:pStyle w:val="36"/>
        <w:tabs>
          <w:tab w:val="clear" w:pos="1440"/>
        </w:tabs>
        <w:spacing w:beforeLines="0" w:afterLines="0" w:line="360" w:lineRule="auto"/>
        <w:ind w:left="0" w:firstLine="0"/>
      </w:pPr>
      <w:r>
        <w:rPr>
          <w:rFonts w:hint="eastAsia"/>
        </w:rPr>
        <w:t>7.2 种植方式</w:t>
      </w:r>
    </w:p>
    <w:p w14:paraId="5A5A7657">
      <w:pPr>
        <w:spacing w:line="360" w:lineRule="auto"/>
        <w:ind w:firstLine="420" w:firstLineChars="200"/>
        <w:rPr>
          <w:rFonts w:ascii="宋体" w:hAnsi="宋体" w:eastAsia="宋体"/>
          <w:bCs/>
          <w:szCs w:val="21"/>
        </w:rPr>
      </w:pPr>
      <w:r>
        <w:rPr>
          <w:rFonts w:hint="eastAsia" w:ascii="宋体" w:hAnsi="宋体" w:eastAsia="宋体" w:cs="Times New Roman"/>
          <w:bCs/>
          <w:szCs w:val="21"/>
        </w:rPr>
        <w:t>可采用65cm～70cm标准垄单行或110cm～140cm大垄双行（通透）密植等方式种植。</w:t>
      </w:r>
    </w:p>
    <w:p w14:paraId="5B7ACFFB">
      <w:pPr>
        <w:pStyle w:val="36"/>
        <w:tabs>
          <w:tab w:val="clear" w:pos="1440"/>
        </w:tabs>
        <w:spacing w:beforeLines="0" w:afterLines="0" w:line="360" w:lineRule="auto"/>
        <w:ind w:left="0" w:firstLine="0"/>
      </w:pPr>
      <w:r>
        <w:rPr>
          <w:rFonts w:hint="eastAsia"/>
        </w:rPr>
        <w:t>7.3 播种方法及质量</w:t>
      </w:r>
    </w:p>
    <w:p w14:paraId="1189AB00">
      <w:pPr>
        <w:spacing w:line="360" w:lineRule="auto"/>
        <w:ind w:firstLine="420" w:firstLineChars="200"/>
        <w:rPr>
          <w:rFonts w:ascii="宋体" w:hAnsi="宋体" w:eastAsia="宋体"/>
          <w:bCs/>
          <w:szCs w:val="21"/>
        </w:rPr>
      </w:pPr>
      <w:r>
        <w:rPr>
          <w:rFonts w:hint="eastAsia" w:ascii="宋体" w:hAnsi="宋体" w:eastAsia="宋体" w:cs="Times New Roman"/>
          <w:bCs/>
          <w:szCs w:val="21"/>
        </w:rPr>
        <w:t>按种植方式，采用大机械精量点播。要做到深浅一致，覆土均匀。秸秆还田及少免耕地块，应采用免耕播种技术播种，直播的地块播种后及时镇压，坐水种的地块播后隔天镇压。镇压做到不漏压，不拖堆。镇压后覆土深度一般为3cm～4cm，风沙土及土壤干旱可相对深些。</w:t>
      </w:r>
    </w:p>
    <w:p w14:paraId="6971D82B">
      <w:pPr>
        <w:pStyle w:val="36"/>
        <w:tabs>
          <w:tab w:val="clear" w:pos="1440"/>
        </w:tabs>
        <w:spacing w:beforeLines="0" w:afterLines="0" w:line="360" w:lineRule="auto"/>
        <w:ind w:left="0" w:firstLine="0"/>
      </w:pPr>
      <w:r>
        <w:rPr>
          <w:rFonts w:hint="eastAsia"/>
        </w:rPr>
        <w:t>7.4 种植密度</w:t>
      </w:r>
    </w:p>
    <w:p w14:paraId="4F7EDA2A">
      <w:pPr>
        <w:spacing w:line="360" w:lineRule="auto"/>
        <w:ind w:firstLine="420" w:firstLineChars="200"/>
        <w:rPr>
          <w:rFonts w:ascii="宋体" w:hAnsi="宋体" w:eastAsia="宋体"/>
          <w:bCs/>
          <w:szCs w:val="21"/>
        </w:rPr>
      </w:pPr>
      <w:r>
        <w:rPr>
          <w:rFonts w:hint="eastAsia" w:ascii="宋体" w:hAnsi="宋体" w:eastAsia="宋体" w:cs="Times New Roman"/>
          <w:bCs/>
          <w:szCs w:val="21"/>
        </w:rPr>
        <w:t>65cm～70cm标准垄种植，每亩保苗4000株～5000株；110cm～140cm大垄通透密植，每亩保苗4666株～5666株。具体实施因品种特性、栽培水平、种植区域等因素，密度适当增减。</w:t>
      </w:r>
    </w:p>
    <w:p w14:paraId="5084505A">
      <w:pPr>
        <w:pStyle w:val="36"/>
        <w:tabs>
          <w:tab w:val="clear" w:pos="1440"/>
        </w:tabs>
        <w:spacing w:beforeLines="0" w:afterLines="0" w:line="360" w:lineRule="auto"/>
        <w:ind w:left="0" w:firstLine="0"/>
      </w:pPr>
      <w:r>
        <w:rPr>
          <w:rFonts w:hint="eastAsia"/>
        </w:rPr>
        <w:t>7.5播种量</w:t>
      </w:r>
    </w:p>
    <w:p w14:paraId="7F0B7764">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依据测定种子发芽率、种植密度等要求确定播种量。一般每亩播量为1.7kg～2kg。</w:t>
      </w:r>
    </w:p>
    <w:p w14:paraId="75F02A57">
      <w:pPr>
        <w:spacing w:line="360" w:lineRule="auto"/>
        <w:rPr>
          <w:rFonts w:hAnsi="黑体" w:cs="黑体"/>
        </w:rPr>
      </w:pPr>
      <w:r>
        <w:rPr>
          <w:rFonts w:hint="eastAsia" w:hAnsi="黑体" w:cs="黑体"/>
        </w:rPr>
        <w:t>8  田间管理</w:t>
      </w:r>
    </w:p>
    <w:p w14:paraId="199544EB">
      <w:pPr>
        <w:spacing w:line="360" w:lineRule="auto"/>
        <w:rPr>
          <w:rFonts w:hAnsi="黑体" w:cs="黑体"/>
        </w:rPr>
      </w:pPr>
      <w:r>
        <w:rPr>
          <w:rFonts w:hint="eastAsia" w:hAnsi="黑体" w:cs="黑体"/>
        </w:rPr>
        <w:t>8.1  灌溉</w:t>
      </w:r>
    </w:p>
    <w:p w14:paraId="0E81A1D9">
      <w:pPr>
        <w:spacing w:line="360" w:lineRule="auto"/>
        <w:ind w:firstLine="420" w:firstLineChars="200"/>
        <w:rPr>
          <w:rFonts w:hAnsi="黑体" w:cs="黑体"/>
        </w:rPr>
      </w:pPr>
      <w:r>
        <w:rPr>
          <w:rFonts w:hint="eastAsia" w:ascii="宋体" w:hAnsi="宋体" w:eastAsia="宋体" w:cs="宋体"/>
          <w:bCs/>
        </w:rPr>
        <w:t>灌溉水质应符合NY/T 391 要求。在玉米拔节期、大喇叭口期和灌浆至乳熟期，</w:t>
      </w:r>
    </w:p>
    <w:p w14:paraId="1E2AB755">
      <w:pPr>
        <w:pStyle w:val="36"/>
        <w:tabs>
          <w:tab w:val="left" w:pos="420"/>
        </w:tabs>
        <w:spacing w:before="156" w:after="156" w:line="360" w:lineRule="auto"/>
        <w:ind w:left="0" w:firstLine="0"/>
        <w:rPr>
          <w:rFonts w:ascii="宋体" w:hAnsi="宋体" w:eastAsia="宋体" w:cs="宋体"/>
          <w:bCs/>
        </w:rPr>
      </w:pPr>
      <w:r>
        <w:rPr>
          <w:rFonts w:hint="eastAsia" w:ascii="宋体" w:hAnsi="宋体" w:eastAsia="宋体" w:cs="宋体"/>
          <w:bCs/>
        </w:rPr>
        <w:t>根据旱情、土壤含水量、作物长势等情况，</w:t>
      </w:r>
      <w:r>
        <w:rPr>
          <w:rFonts w:hint="eastAsia" w:ascii="宋体" w:hAnsi="宋体" w:eastAsia="宋体" w:cs="宋体"/>
        </w:rPr>
        <w:t>采用滴灌、喷灌、沟灌等方式</w:t>
      </w:r>
      <w:r>
        <w:rPr>
          <w:rFonts w:hint="eastAsia" w:ascii="宋体" w:hAnsi="宋体" w:eastAsia="宋体" w:cs="宋体"/>
          <w:bCs/>
        </w:rPr>
        <w:t>进行灌溉。</w:t>
      </w:r>
    </w:p>
    <w:p w14:paraId="67C805E1">
      <w:pPr>
        <w:pStyle w:val="36"/>
        <w:tabs>
          <w:tab w:val="left" w:pos="420"/>
          <w:tab w:val="clear" w:pos="1440"/>
        </w:tabs>
        <w:spacing w:before="156" w:after="156" w:line="360" w:lineRule="auto"/>
        <w:ind w:left="0" w:firstLine="0"/>
        <w:rPr>
          <w:rFonts w:ascii="宋体" w:hAnsi="宋体" w:eastAsia="宋体" w:cs="宋体"/>
          <w:bCs/>
        </w:rPr>
      </w:pPr>
      <w:r>
        <w:rPr>
          <w:rFonts w:hint="eastAsia" w:hAnsi="黑体" w:cs="黑体"/>
          <w:bCs/>
        </w:rPr>
        <w:t xml:space="preserve">8.2  </w:t>
      </w:r>
      <w:r>
        <w:rPr>
          <w:rFonts w:hint="eastAsia" w:hAnsi="黑体" w:cs="黑体"/>
        </w:rPr>
        <w:t>施肥</w:t>
      </w:r>
    </w:p>
    <w:p w14:paraId="7F9665F2">
      <w:pPr>
        <w:pStyle w:val="36"/>
        <w:tabs>
          <w:tab w:val="left" w:pos="420"/>
          <w:tab w:val="clear" w:pos="1440"/>
        </w:tabs>
        <w:spacing w:before="156" w:after="156" w:line="360" w:lineRule="auto"/>
        <w:ind w:left="0" w:firstLine="0"/>
        <w:rPr>
          <w:rFonts w:hAnsi="黑体" w:cs="黑体"/>
        </w:rPr>
      </w:pPr>
      <w:r>
        <w:rPr>
          <w:rFonts w:hint="eastAsia" w:hAnsi="黑体" w:cs="黑体"/>
        </w:rPr>
        <w:t>8.2.1  施肥原则</w:t>
      </w:r>
    </w:p>
    <w:p w14:paraId="47D1F39E">
      <w:pPr>
        <w:pStyle w:val="36"/>
        <w:tabs>
          <w:tab w:val="left" w:pos="420"/>
          <w:tab w:val="clear" w:pos="1440"/>
        </w:tabs>
        <w:spacing w:before="156" w:after="156" w:line="360" w:lineRule="auto"/>
        <w:ind w:left="0" w:firstLine="420" w:firstLineChars="200"/>
        <w:rPr>
          <w:rFonts w:ascii="宋体" w:hAnsi="宋体" w:eastAsia="宋体" w:cs="黑体"/>
        </w:rPr>
      </w:pPr>
      <w:r>
        <w:rPr>
          <w:rFonts w:hint="eastAsia" w:ascii="宋体" w:hAnsi="宋体" w:eastAsia="宋体"/>
          <w:bCs/>
        </w:rPr>
        <w:t xml:space="preserve">应符合NY/T 394的规定。以有机肥为主，化肥为辅。当季无机氮与有机氮用量比不超过 1:1。根据土壤供肥能力和土壤养分的平衡状况，以及气候、栽培等因素，进行测土配方平衡施肥，做到氮、磷、钾及中、微量元素合理搭配。 </w:t>
      </w:r>
    </w:p>
    <w:p w14:paraId="5C7BD43B">
      <w:pPr>
        <w:spacing w:line="360" w:lineRule="auto"/>
        <w:rPr>
          <w:rFonts w:ascii="宋体" w:hAnsi="宋体" w:cs="Times New Roman"/>
          <w:bCs/>
          <w:szCs w:val="21"/>
        </w:rPr>
      </w:pPr>
      <w:r>
        <w:rPr>
          <w:rFonts w:hint="eastAsia" w:hAnsi="黑体" w:cs="黑体"/>
        </w:rPr>
        <w:t xml:space="preserve">8.2.2  </w:t>
      </w:r>
      <w:r>
        <w:rPr>
          <w:rFonts w:hint="eastAsia"/>
        </w:rPr>
        <w:t>有机肥</w:t>
      </w:r>
    </w:p>
    <w:p w14:paraId="1589C17D">
      <w:pPr>
        <w:spacing w:line="360" w:lineRule="auto"/>
        <w:ind w:firstLine="420" w:firstLineChars="200"/>
        <w:rPr>
          <w:rFonts w:ascii="宋体" w:hAnsi="宋体" w:eastAsia="宋体"/>
          <w:bCs/>
          <w:szCs w:val="21"/>
        </w:rPr>
      </w:pPr>
      <w:r>
        <w:rPr>
          <w:rFonts w:hint="eastAsia" w:ascii="宋体" w:hAnsi="宋体" w:eastAsia="宋体"/>
          <w:bCs/>
          <w:szCs w:val="21"/>
        </w:rPr>
        <w:t>每亩基施腐熟有机肥2000kg～2500kg，结合整地撒施或条施夹肥。</w:t>
      </w:r>
    </w:p>
    <w:p w14:paraId="60D09B05">
      <w:pPr>
        <w:spacing w:line="360" w:lineRule="auto"/>
        <w:rPr>
          <w:rFonts w:ascii="宋体" w:hAnsi="宋体"/>
          <w:bCs/>
          <w:szCs w:val="21"/>
        </w:rPr>
      </w:pPr>
      <w:r>
        <w:rPr>
          <w:rFonts w:hint="eastAsia" w:hAnsi="黑体" w:cs="黑体"/>
        </w:rPr>
        <w:t xml:space="preserve">8.2.3  </w:t>
      </w:r>
      <w:r>
        <w:rPr>
          <w:rFonts w:hint="eastAsia"/>
        </w:rPr>
        <w:t>化肥</w:t>
      </w:r>
    </w:p>
    <w:p w14:paraId="3DD7FB03">
      <w:pPr>
        <w:spacing w:line="360" w:lineRule="auto"/>
        <w:ind w:firstLine="420" w:firstLineChars="200"/>
        <w:rPr>
          <w:rFonts w:ascii="宋体" w:hAnsi="宋体" w:eastAsia="宋体"/>
          <w:bCs/>
          <w:szCs w:val="21"/>
        </w:rPr>
      </w:pPr>
      <w:r>
        <w:rPr>
          <w:rFonts w:hint="eastAsia" w:ascii="宋体" w:hAnsi="宋体" w:eastAsia="宋体"/>
          <w:bCs/>
          <w:szCs w:val="21"/>
        </w:rPr>
        <w:t>每亩施五氧化二磷4.5kg～6kg、氧化钾3.5kg～4.0kg，结合整地做底肥或种肥施入；每亩施纯氮6.5kg～10.0kg，其中30%～40%做底肥或种肥，另60%～70%做追肥施入。追肥在7～9叶期或拔节前进行，追肥部位离植株10cm～15cm，深度8cm～10cm。</w:t>
      </w:r>
    </w:p>
    <w:p w14:paraId="21C58705">
      <w:pPr>
        <w:spacing w:line="360" w:lineRule="auto"/>
      </w:pPr>
      <w:r>
        <w:rPr>
          <w:rFonts w:hint="eastAsia"/>
        </w:rPr>
        <w:t>8.3  病虫草害防治</w:t>
      </w:r>
    </w:p>
    <w:p w14:paraId="31D997FE">
      <w:pPr>
        <w:spacing w:line="360" w:lineRule="auto"/>
        <w:rPr>
          <w:rFonts w:ascii="宋体" w:hAnsi="宋体"/>
          <w:bCs/>
          <w:szCs w:val="21"/>
        </w:rPr>
      </w:pPr>
      <w:r>
        <w:rPr>
          <w:rFonts w:hint="eastAsia"/>
        </w:rPr>
        <w:t>8.3.1  防治原则</w:t>
      </w:r>
    </w:p>
    <w:p w14:paraId="03A8C890">
      <w:pPr>
        <w:autoSpaceDE w:val="0"/>
        <w:autoSpaceDN w:val="0"/>
        <w:adjustRightInd w:val="0"/>
        <w:spacing w:line="360" w:lineRule="auto"/>
        <w:ind w:firstLine="420" w:firstLineChars="200"/>
        <w:jc w:val="left"/>
        <w:rPr>
          <w:rFonts w:ascii="宋体" w:hAnsi="宋体" w:eastAsia="宋体"/>
          <w:kern w:val="0"/>
          <w:szCs w:val="21"/>
        </w:rPr>
      </w:pPr>
      <w:r>
        <w:rPr>
          <w:rFonts w:hint="eastAsia" w:ascii="宋体" w:hAnsi="宋体" w:eastAsia="宋体"/>
          <w:kern w:val="0"/>
          <w:szCs w:val="21"/>
        </w:rPr>
        <w:t>坚持“预防为主，综合防治”的植保方针，以农业防治为基础，优先采用物理和生物防治技术，辅之化学防治措施。应使用高效、低毒、低残留农药品种，药剂选择和使用应符合</w:t>
      </w:r>
      <w:r>
        <w:rPr>
          <w:rFonts w:ascii="宋体" w:hAnsi="宋体" w:eastAsia="宋体"/>
          <w:kern w:val="0"/>
          <w:szCs w:val="21"/>
        </w:rPr>
        <w:t>NY/T 393</w:t>
      </w:r>
      <w:r>
        <w:rPr>
          <w:rFonts w:hint="eastAsia" w:ascii="宋体" w:hAnsi="宋体" w:eastAsia="宋体"/>
          <w:kern w:val="0"/>
          <w:szCs w:val="21"/>
        </w:rPr>
        <w:t>的要求。</w:t>
      </w:r>
    </w:p>
    <w:p w14:paraId="7D22F541">
      <w:pPr>
        <w:pStyle w:val="36"/>
        <w:tabs>
          <w:tab w:val="left" w:pos="420"/>
          <w:tab w:val="clear" w:pos="1440"/>
        </w:tabs>
        <w:spacing w:before="156" w:after="156" w:line="360" w:lineRule="auto"/>
        <w:ind w:left="0" w:firstLine="0"/>
      </w:pPr>
      <w:r>
        <w:rPr>
          <w:rFonts w:hint="eastAsia"/>
        </w:rPr>
        <w:t>8.3.2  常见病虫草害</w:t>
      </w:r>
    </w:p>
    <w:p w14:paraId="4127C09D">
      <w:pPr>
        <w:spacing w:line="360" w:lineRule="auto"/>
        <w:ind w:firstLine="420" w:firstLineChars="200"/>
        <w:rPr>
          <w:rFonts w:ascii="宋体" w:hAnsi="宋体" w:eastAsia="宋体"/>
          <w:bCs/>
          <w:szCs w:val="21"/>
        </w:rPr>
      </w:pPr>
      <w:r>
        <w:rPr>
          <w:rFonts w:hint="eastAsia" w:ascii="宋体" w:hAnsi="宋体" w:eastAsia="宋体"/>
          <w:bCs/>
          <w:szCs w:val="21"/>
        </w:rPr>
        <w:t>主要病害：斑病、丝黑穗病、茎腐病等。</w:t>
      </w:r>
    </w:p>
    <w:p w14:paraId="2D152692">
      <w:pPr>
        <w:spacing w:line="360" w:lineRule="auto"/>
        <w:ind w:firstLine="420" w:firstLineChars="200"/>
        <w:rPr>
          <w:rFonts w:ascii="宋体" w:hAnsi="宋体" w:eastAsia="宋体"/>
          <w:bCs/>
          <w:szCs w:val="21"/>
        </w:rPr>
      </w:pPr>
      <w:r>
        <w:rPr>
          <w:rFonts w:hint="eastAsia" w:ascii="宋体" w:hAnsi="宋体" w:eastAsia="宋体"/>
          <w:bCs/>
          <w:szCs w:val="21"/>
        </w:rPr>
        <w:t>主要虫害：玉米螟、粘虫、蚜虫及金针虫、地老虎、蛴螬等。</w:t>
      </w:r>
    </w:p>
    <w:p w14:paraId="1F757938">
      <w:pPr>
        <w:spacing w:line="360" w:lineRule="auto"/>
        <w:ind w:firstLine="420" w:firstLineChars="200"/>
        <w:rPr>
          <w:rFonts w:ascii="宋体" w:hAnsi="宋体" w:eastAsia="宋体"/>
          <w:bCs/>
          <w:szCs w:val="21"/>
        </w:rPr>
      </w:pPr>
      <w:r>
        <w:rPr>
          <w:rFonts w:hint="eastAsia" w:ascii="宋体" w:hAnsi="宋体" w:eastAsia="宋体"/>
          <w:bCs/>
          <w:szCs w:val="21"/>
        </w:rPr>
        <w:t>主要草害：马唐、稗草、牛筋草、鸭跖草等。</w:t>
      </w:r>
    </w:p>
    <w:p w14:paraId="78B82C70">
      <w:pPr>
        <w:pStyle w:val="34"/>
        <w:tabs>
          <w:tab w:val="left" w:pos="420"/>
        </w:tabs>
        <w:spacing w:before="156" w:after="156" w:line="360" w:lineRule="auto"/>
        <w:ind w:left="0" w:firstLine="0"/>
      </w:pPr>
      <w:r>
        <w:rPr>
          <w:rFonts w:hint="eastAsia"/>
        </w:rPr>
        <w:t>8.3.3  防治措施</w:t>
      </w:r>
    </w:p>
    <w:p w14:paraId="4C8DAF63">
      <w:pPr>
        <w:pStyle w:val="34"/>
        <w:tabs>
          <w:tab w:val="left" w:pos="420"/>
        </w:tabs>
        <w:spacing w:before="156" w:after="156" w:line="360" w:lineRule="auto"/>
        <w:ind w:left="0" w:firstLine="0"/>
        <w:rPr>
          <w:rFonts w:hAnsi="黑体"/>
        </w:rPr>
      </w:pPr>
      <w:r>
        <w:rPr>
          <w:rFonts w:hint="eastAsia" w:hAnsi="黑体"/>
        </w:rPr>
        <w:t>8.3.3.1  农业防治</w:t>
      </w:r>
    </w:p>
    <w:p w14:paraId="728E359D">
      <w:pPr>
        <w:pStyle w:val="34"/>
        <w:tabs>
          <w:tab w:val="left" w:pos="420"/>
        </w:tabs>
        <w:spacing w:before="156" w:after="156" w:line="360" w:lineRule="auto"/>
        <w:ind w:left="0" w:firstLine="420" w:firstLineChars="200"/>
        <w:rPr>
          <w:rFonts w:ascii="宋体" w:hAnsi="宋体" w:eastAsia="宋体"/>
          <w:kern w:val="2"/>
          <w:szCs w:val="24"/>
        </w:rPr>
      </w:pPr>
      <w:r>
        <w:rPr>
          <w:rFonts w:hint="eastAsia" w:ascii="宋体" w:hAnsi="宋体" w:eastAsia="宋体"/>
          <w:kern w:val="2"/>
          <w:szCs w:val="24"/>
        </w:rPr>
        <w:t>选用多抗品种，合理轮作和耕作，合理密植和施肥，精细管理，培育壮苗，清除田间病株、残体等。</w:t>
      </w:r>
    </w:p>
    <w:p w14:paraId="54ABC145">
      <w:pPr>
        <w:pStyle w:val="36"/>
        <w:tabs>
          <w:tab w:val="left" w:pos="420"/>
          <w:tab w:val="clear" w:pos="1440"/>
        </w:tabs>
        <w:spacing w:before="156" w:after="156" w:line="360" w:lineRule="auto"/>
        <w:ind w:left="0" w:firstLine="0"/>
      </w:pPr>
    </w:p>
    <w:p w14:paraId="5C224A02">
      <w:pPr>
        <w:pStyle w:val="34"/>
        <w:tabs>
          <w:tab w:val="left" w:pos="420"/>
          <w:tab w:val="clear" w:pos="2160"/>
        </w:tabs>
        <w:spacing w:before="156" w:after="156" w:line="360" w:lineRule="auto"/>
        <w:ind w:left="0" w:firstLine="0"/>
      </w:pPr>
      <w:r>
        <w:rPr>
          <w:rFonts w:hint="eastAsia"/>
        </w:rPr>
        <w:t>8.3.3.2  物理防治</w:t>
      </w:r>
    </w:p>
    <w:p w14:paraId="2A7E15AE">
      <w:pPr>
        <w:spacing w:line="360" w:lineRule="auto"/>
        <w:ind w:firstLine="420" w:firstLineChars="200"/>
        <w:rPr>
          <w:rFonts w:ascii="宋体" w:hAnsi="宋体" w:eastAsia="宋体"/>
          <w:bCs/>
          <w:szCs w:val="21"/>
        </w:rPr>
      </w:pPr>
      <w:r>
        <w:rPr>
          <w:rFonts w:hint="eastAsia" w:ascii="宋体" w:hAnsi="宋体" w:eastAsia="宋体"/>
          <w:bCs/>
          <w:szCs w:val="21"/>
        </w:rPr>
        <w:t>利用灯光、性诱捕器、机械捕捉害虫等。玉米螟防治，可在玉米螟成虫羽化初始期，设置杀虫灯或性诱剂加挂在投射式杀虫灯上进行成虫诱杀。粘虫防治，可在成虫发生期，采取杀虫灯、谷（稻）草把、杨树枝把等措施诱捕成虫和卵。</w:t>
      </w:r>
    </w:p>
    <w:p w14:paraId="42127DB7">
      <w:pPr>
        <w:pStyle w:val="34"/>
        <w:tabs>
          <w:tab w:val="left" w:pos="420"/>
          <w:tab w:val="clear" w:pos="2160"/>
        </w:tabs>
        <w:spacing w:before="156" w:after="156" w:line="360" w:lineRule="auto"/>
        <w:ind w:left="0" w:firstLine="0"/>
      </w:pPr>
      <w:r>
        <w:rPr>
          <w:rFonts w:hint="eastAsia"/>
        </w:rPr>
        <w:t>8.3.3.3  生物防治</w:t>
      </w:r>
    </w:p>
    <w:p w14:paraId="5A6DB696">
      <w:pPr>
        <w:spacing w:line="360" w:lineRule="auto"/>
        <w:ind w:firstLine="420" w:firstLineChars="200"/>
        <w:rPr>
          <w:rFonts w:ascii="宋体" w:hAnsi="宋体" w:eastAsia="宋体"/>
          <w:bCs/>
          <w:szCs w:val="21"/>
        </w:rPr>
      </w:pPr>
      <w:r>
        <w:rPr>
          <w:rFonts w:hint="eastAsia" w:ascii="宋体" w:hAnsi="宋体" w:eastAsia="宋体"/>
          <w:bCs/>
          <w:szCs w:val="21"/>
        </w:rPr>
        <w:t>选用低毒生物农药，释放天敌等措施。可利用赤眼蜂防治玉米螟，在玉米螟化蛹率达到20%时，后推10d为第一次放蜂日，间隔5d后第二次放蜂，间隔10d后第三次放蜂。每亩地总放蜂量为15000头，每次每亩放5000头，每亩每次放两个点，每点放1块蜂卡。在田间玉米螟卵孵化率达到30%时(一般在玉米心叶末期)，喷洒16000IU/mg的苏云金杆菌（Bt）可湿性粉剂， 50-100g/亩防治玉米螟幼虫，在玉米抽丝期可再次用药。黏虫防治，可在幼虫发生期，提前喷洒苏云金杆菌（BT）。</w:t>
      </w:r>
    </w:p>
    <w:p w14:paraId="3E0281EB">
      <w:pPr>
        <w:pStyle w:val="34"/>
        <w:tabs>
          <w:tab w:val="left" w:pos="420"/>
          <w:tab w:val="clear" w:pos="2160"/>
        </w:tabs>
        <w:spacing w:before="156" w:after="156" w:line="360" w:lineRule="auto"/>
        <w:ind w:left="0" w:firstLine="0"/>
        <w:rPr>
          <w:rFonts w:hAnsi="黑体"/>
          <w:bCs/>
          <w:kern w:val="2"/>
        </w:rPr>
      </w:pPr>
      <w:r>
        <w:rPr>
          <w:rFonts w:hint="eastAsia"/>
        </w:rPr>
        <w:t xml:space="preserve">8.3.3.4  </w:t>
      </w:r>
      <w:r>
        <w:rPr>
          <w:rFonts w:hint="eastAsia" w:hAnsi="黑体"/>
          <w:bCs/>
          <w:kern w:val="2"/>
        </w:rPr>
        <w:t>化学防治</w:t>
      </w:r>
    </w:p>
    <w:p w14:paraId="013EDDA8">
      <w:pPr>
        <w:pStyle w:val="29"/>
        <w:spacing w:line="360" w:lineRule="auto"/>
        <w:ind w:firstLine="420"/>
        <w:rPr>
          <w:rFonts w:hAnsi="宋体"/>
        </w:rPr>
      </w:pPr>
      <w:r>
        <w:rPr>
          <w:rFonts w:hint="eastAsia" w:hAnsi="宋体"/>
        </w:rPr>
        <w:t>具体化学防治方案参见附录A。</w:t>
      </w:r>
    </w:p>
    <w:p w14:paraId="63CA1BDE">
      <w:pPr>
        <w:pStyle w:val="29"/>
        <w:spacing w:line="360" w:lineRule="auto"/>
        <w:ind w:firstLine="0" w:firstLineChars="0"/>
        <w:rPr>
          <w:rFonts w:hAnsi="宋体"/>
        </w:rPr>
      </w:pPr>
      <w:r>
        <w:rPr>
          <w:rFonts w:hint="eastAsia"/>
        </w:rPr>
        <w:t>9  采收</w:t>
      </w:r>
    </w:p>
    <w:p w14:paraId="5B9C096F">
      <w:pPr>
        <w:pStyle w:val="9"/>
        <w:spacing w:line="360" w:lineRule="auto"/>
        <w:ind w:firstLine="420" w:firstLineChars="200"/>
        <w:rPr>
          <w:bCs/>
          <w:szCs w:val="21"/>
        </w:rPr>
      </w:pPr>
      <w:r>
        <w:rPr>
          <w:rFonts w:hint="eastAsia"/>
          <w:sz w:val="21"/>
          <w:szCs w:val="21"/>
        </w:rPr>
        <w:t>在苞片枯黄变白、松散，籽粒变硬发亮，并呈现本品种固有特征；“乳线”消失；籽粒尖端出现黑色层的完熟后期采收。可采取机械收穗、机械收粒或站杆掰棒。</w:t>
      </w:r>
    </w:p>
    <w:p w14:paraId="0C22E150">
      <w:pPr>
        <w:spacing w:line="360" w:lineRule="auto"/>
        <w:ind w:firstLine="420" w:firstLineChars="200"/>
        <w:rPr>
          <w:rFonts w:ascii="宋体" w:hAnsi="宋体" w:eastAsia="宋体"/>
          <w:szCs w:val="21"/>
        </w:rPr>
      </w:pPr>
      <w:r>
        <w:rPr>
          <w:rFonts w:hint="eastAsia" w:ascii="宋体" w:hAnsi="宋体" w:eastAsia="宋体"/>
          <w:bCs/>
          <w:szCs w:val="21"/>
        </w:rPr>
        <w:t>采收后要及时进行晾晒。收穗或站杆掰棒的，籽粒含水量达到20%以下脱粒，高于20%以上冻后脱粒。</w:t>
      </w:r>
    </w:p>
    <w:p w14:paraId="312A6273">
      <w:pPr>
        <w:spacing w:line="360" w:lineRule="auto"/>
        <w:rPr>
          <w:rFonts w:ascii="黑体" w:hAnsi="黑体" w:eastAsia="黑体"/>
          <w:szCs w:val="21"/>
        </w:rPr>
      </w:pPr>
      <w:r>
        <w:rPr>
          <w:rFonts w:hint="eastAsia" w:ascii="黑体" w:hAnsi="黑体" w:eastAsia="黑体"/>
          <w:szCs w:val="21"/>
        </w:rPr>
        <w:t>10  生产废弃物的处理</w:t>
      </w:r>
    </w:p>
    <w:p w14:paraId="420FABF2">
      <w:pPr>
        <w:spacing w:line="360" w:lineRule="auto"/>
        <w:ind w:firstLine="420" w:firstLineChars="200"/>
        <w:rPr>
          <w:rFonts w:ascii="宋体" w:hAnsi="宋体" w:eastAsia="宋体"/>
        </w:rPr>
      </w:pPr>
      <w:r>
        <w:rPr>
          <w:rFonts w:hint="eastAsia" w:ascii="宋体" w:hAnsi="宋体" w:eastAsia="宋体" w:cs="宋体"/>
          <w:szCs w:val="21"/>
        </w:rPr>
        <w:t>除草剂、杀菌剂、杀虫剂、种衣剂以及包衣种子的包装物不得重复使用，应及时</w:t>
      </w:r>
      <w:r>
        <w:rPr>
          <w:rFonts w:hint="eastAsia" w:ascii="宋体" w:hAnsi="宋体" w:eastAsia="宋体" w:cs="宋体"/>
          <w:color w:val="000000" w:themeColor="text1"/>
          <w:szCs w:val="21"/>
          <w14:textFill>
            <w14:solidFill>
              <w14:schemeClr w14:val="tx1"/>
            </w14:solidFill>
          </w14:textFill>
        </w:rPr>
        <w:t>深埋或集中处理</w:t>
      </w:r>
      <w:r>
        <w:rPr>
          <w:rFonts w:hint="eastAsia" w:ascii="宋体" w:hAnsi="宋体" w:eastAsia="宋体" w:cs="宋体"/>
          <w:szCs w:val="21"/>
        </w:rPr>
        <w:t>，且不能引起环境污染。</w:t>
      </w:r>
      <w:r>
        <w:rPr>
          <w:rFonts w:hint="eastAsia" w:ascii="宋体" w:hAnsi="宋体" w:eastAsia="宋体"/>
        </w:rPr>
        <w:t>秸秆还田或捡拾打捆用于堆肥、制作燃料等。</w:t>
      </w:r>
    </w:p>
    <w:p w14:paraId="6E443868">
      <w:pPr>
        <w:spacing w:line="360" w:lineRule="auto"/>
        <w:rPr>
          <w:rFonts w:ascii="Times New Roman" w:hAnsi="宋体" w:eastAsia="宋体"/>
          <w:szCs w:val="24"/>
        </w:rPr>
      </w:pPr>
      <w:r>
        <w:rPr>
          <w:rFonts w:hint="eastAsia"/>
        </w:rPr>
        <w:t>11  贮藏</w:t>
      </w:r>
    </w:p>
    <w:p w14:paraId="4A34D149">
      <w:pPr>
        <w:spacing w:line="360" w:lineRule="auto"/>
        <w:ind w:firstLine="420" w:firstLineChars="200"/>
        <w:rPr>
          <w:rFonts w:ascii="宋体" w:hAnsi="宋体" w:eastAsia="宋体"/>
        </w:rPr>
      </w:pPr>
      <w:r>
        <w:rPr>
          <w:rFonts w:hint="eastAsia" w:ascii="宋体" w:hAnsi="宋体" w:eastAsia="宋体"/>
        </w:rPr>
        <w:t>贮藏时，籽粒含水量要在14%以下。贮藏设施、周围环境、卫生要求、出入库、堆放等应符合NY/T 1056的要求。贮藏设施要有防虫、防鼠、防潮等功能。</w:t>
      </w:r>
    </w:p>
    <w:p w14:paraId="674DBFC0">
      <w:pPr>
        <w:spacing w:line="360" w:lineRule="auto"/>
        <w:rPr>
          <w:rFonts w:ascii="宋体" w:hAnsi="宋体" w:cs="宋体"/>
          <w:sz w:val="28"/>
          <w:szCs w:val="28"/>
        </w:rPr>
      </w:pPr>
      <w:r>
        <w:rPr>
          <w:rFonts w:hint="eastAsia"/>
        </w:rPr>
        <w:t>12  生产记录档案</w:t>
      </w:r>
    </w:p>
    <w:p w14:paraId="2CC2079C">
      <w:pPr>
        <w:pStyle w:val="29"/>
        <w:spacing w:line="360" w:lineRule="auto"/>
        <w:ind w:firstLine="420"/>
      </w:pPr>
      <w:r>
        <w:rPr>
          <w:rFonts w:hint="eastAsia"/>
        </w:rPr>
        <w:t>生产全过程，要建立生产记录档案，包括：地块档案和整地、播种、铲趟、灌溉情况、施肥情况、病虫草害防治、采收等。记录保存期限不少于</w:t>
      </w:r>
      <w:r>
        <w:t> </w:t>
      </w:r>
      <w:r>
        <w:rPr>
          <w:rFonts w:hint="eastAsia"/>
        </w:rPr>
        <w:t>3年。</w:t>
      </w:r>
    </w:p>
    <w:p w14:paraId="2AAAC3DD">
      <w:pPr>
        <w:pStyle w:val="29"/>
        <w:tabs>
          <w:tab w:val="center" w:pos="4201"/>
          <w:tab w:val="right" w:leader="dot" w:pos="9298"/>
        </w:tabs>
        <w:ind w:firstLine="420"/>
        <w:rPr>
          <w:rFonts w:ascii="Times New Roman"/>
        </w:rPr>
      </w:pPr>
    </w:p>
    <w:p w14:paraId="7428C71B">
      <w:pPr>
        <w:pStyle w:val="29"/>
        <w:tabs>
          <w:tab w:val="center" w:pos="4201"/>
          <w:tab w:val="right" w:leader="dot" w:pos="9298"/>
        </w:tabs>
        <w:ind w:firstLine="0" w:firstLineChars="0"/>
        <w:jc w:val="center"/>
        <w:rPr>
          <w:rFonts w:ascii="黑体" w:hAnsi="黑体" w:eastAsia="黑体"/>
          <w:bCs/>
          <w:szCs w:val="21"/>
        </w:rPr>
      </w:pPr>
    </w:p>
    <w:p w14:paraId="5B6B3E22">
      <w:pPr>
        <w:pStyle w:val="29"/>
        <w:tabs>
          <w:tab w:val="center" w:pos="4201"/>
          <w:tab w:val="right" w:leader="dot" w:pos="9298"/>
        </w:tabs>
        <w:ind w:firstLine="0" w:firstLineChars="0"/>
        <w:jc w:val="center"/>
        <w:rPr>
          <w:rFonts w:ascii="黑体" w:hAnsi="黑体" w:eastAsia="黑体"/>
          <w:bCs/>
          <w:szCs w:val="21"/>
        </w:rPr>
      </w:pPr>
    </w:p>
    <w:p w14:paraId="3C3B8AC6">
      <w:pPr>
        <w:pStyle w:val="29"/>
        <w:tabs>
          <w:tab w:val="center" w:pos="4201"/>
          <w:tab w:val="right" w:leader="dot" w:pos="9298"/>
        </w:tabs>
        <w:ind w:firstLine="0" w:firstLineChars="0"/>
        <w:jc w:val="center"/>
        <w:rPr>
          <w:rFonts w:ascii="黑体" w:hAnsi="黑体" w:eastAsia="黑体"/>
          <w:bCs/>
          <w:szCs w:val="21"/>
        </w:rPr>
      </w:pPr>
    </w:p>
    <w:p w14:paraId="5347A166">
      <w:pPr>
        <w:pStyle w:val="29"/>
        <w:tabs>
          <w:tab w:val="center" w:pos="4201"/>
          <w:tab w:val="right" w:leader="dot" w:pos="9298"/>
        </w:tabs>
        <w:ind w:firstLine="0" w:firstLineChars="0"/>
        <w:jc w:val="center"/>
        <w:rPr>
          <w:rFonts w:ascii="黑体" w:hAnsi="黑体" w:eastAsia="黑体"/>
          <w:bCs/>
          <w:szCs w:val="21"/>
        </w:rPr>
      </w:pPr>
    </w:p>
    <w:p w14:paraId="7E07AD3A">
      <w:pPr>
        <w:pStyle w:val="29"/>
        <w:tabs>
          <w:tab w:val="center" w:pos="4201"/>
          <w:tab w:val="right" w:leader="dot" w:pos="9298"/>
        </w:tabs>
        <w:ind w:firstLine="0" w:firstLineChars="0"/>
        <w:jc w:val="center"/>
        <w:rPr>
          <w:rFonts w:ascii="黑体" w:hAnsi="黑体" w:eastAsia="黑体"/>
          <w:bCs/>
          <w:szCs w:val="21"/>
        </w:rPr>
      </w:pPr>
    </w:p>
    <w:p w14:paraId="078D8ED9">
      <w:pPr>
        <w:pStyle w:val="29"/>
        <w:tabs>
          <w:tab w:val="center" w:pos="4201"/>
          <w:tab w:val="right" w:leader="dot" w:pos="9298"/>
        </w:tabs>
        <w:ind w:firstLine="0" w:firstLineChars="0"/>
        <w:jc w:val="center"/>
        <w:rPr>
          <w:rFonts w:ascii="黑体" w:hAnsi="黑体" w:eastAsia="黑体"/>
          <w:bCs/>
          <w:szCs w:val="21"/>
        </w:rPr>
      </w:pPr>
    </w:p>
    <w:p w14:paraId="5CADC936">
      <w:pPr>
        <w:pStyle w:val="29"/>
        <w:tabs>
          <w:tab w:val="center" w:pos="4201"/>
          <w:tab w:val="right" w:leader="dot" w:pos="9298"/>
        </w:tabs>
        <w:ind w:firstLine="0" w:firstLineChars="0"/>
        <w:jc w:val="center"/>
        <w:rPr>
          <w:rFonts w:ascii="黑体" w:hAnsi="黑体" w:eastAsia="黑体"/>
          <w:bCs/>
          <w:szCs w:val="21"/>
        </w:rPr>
      </w:pPr>
    </w:p>
    <w:p w14:paraId="120D072B">
      <w:pPr>
        <w:pStyle w:val="29"/>
        <w:tabs>
          <w:tab w:val="center" w:pos="4201"/>
          <w:tab w:val="right" w:leader="dot" w:pos="9298"/>
        </w:tabs>
        <w:ind w:firstLine="0" w:firstLineChars="0"/>
        <w:jc w:val="center"/>
        <w:rPr>
          <w:rFonts w:ascii="黑体" w:hAnsi="黑体" w:eastAsia="黑体"/>
          <w:bCs/>
          <w:szCs w:val="21"/>
        </w:rPr>
      </w:pPr>
    </w:p>
    <w:p w14:paraId="18D8BB57">
      <w:pPr>
        <w:pStyle w:val="29"/>
        <w:tabs>
          <w:tab w:val="center" w:pos="4201"/>
          <w:tab w:val="right" w:leader="dot" w:pos="9298"/>
        </w:tabs>
        <w:ind w:firstLine="0" w:firstLineChars="0"/>
        <w:jc w:val="center"/>
        <w:rPr>
          <w:rFonts w:ascii="黑体" w:hAnsi="黑体" w:eastAsia="黑体"/>
          <w:bCs/>
          <w:szCs w:val="21"/>
        </w:rPr>
      </w:pPr>
    </w:p>
    <w:p w14:paraId="4D97AD5B">
      <w:pPr>
        <w:pStyle w:val="29"/>
        <w:tabs>
          <w:tab w:val="center" w:pos="4201"/>
          <w:tab w:val="right" w:leader="dot" w:pos="9298"/>
        </w:tabs>
        <w:ind w:firstLine="0" w:firstLineChars="0"/>
        <w:jc w:val="center"/>
        <w:rPr>
          <w:rFonts w:ascii="黑体" w:hAnsi="黑体" w:eastAsia="黑体"/>
          <w:bCs/>
          <w:szCs w:val="21"/>
        </w:rPr>
      </w:pPr>
    </w:p>
    <w:p w14:paraId="4EE2511A">
      <w:pPr>
        <w:pStyle w:val="29"/>
        <w:tabs>
          <w:tab w:val="center" w:pos="4201"/>
          <w:tab w:val="right" w:leader="dot" w:pos="9298"/>
        </w:tabs>
        <w:ind w:firstLine="0" w:firstLineChars="0"/>
        <w:jc w:val="center"/>
        <w:rPr>
          <w:rFonts w:ascii="黑体" w:hAnsi="黑体" w:eastAsia="黑体"/>
          <w:bCs/>
          <w:szCs w:val="21"/>
        </w:rPr>
      </w:pPr>
    </w:p>
    <w:p w14:paraId="5B4E3281">
      <w:pPr>
        <w:pStyle w:val="29"/>
        <w:tabs>
          <w:tab w:val="center" w:pos="4201"/>
          <w:tab w:val="right" w:leader="dot" w:pos="9298"/>
        </w:tabs>
        <w:ind w:firstLine="0" w:firstLineChars="0"/>
        <w:jc w:val="center"/>
        <w:rPr>
          <w:rFonts w:ascii="黑体" w:hAnsi="黑体" w:eastAsia="黑体"/>
          <w:bCs/>
          <w:szCs w:val="21"/>
        </w:rPr>
      </w:pPr>
    </w:p>
    <w:p w14:paraId="61F45375">
      <w:pPr>
        <w:pStyle w:val="29"/>
        <w:tabs>
          <w:tab w:val="center" w:pos="4201"/>
          <w:tab w:val="right" w:leader="dot" w:pos="9298"/>
        </w:tabs>
        <w:ind w:firstLine="0" w:firstLineChars="0"/>
        <w:jc w:val="center"/>
        <w:rPr>
          <w:rFonts w:ascii="黑体" w:hAnsi="黑体" w:eastAsia="黑体"/>
          <w:bCs/>
          <w:szCs w:val="21"/>
        </w:rPr>
      </w:pPr>
    </w:p>
    <w:p w14:paraId="75328C1D">
      <w:pPr>
        <w:pStyle w:val="29"/>
        <w:tabs>
          <w:tab w:val="center" w:pos="4201"/>
          <w:tab w:val="right" w:leader="dot" w:pos="9298"/>
        </w:tabs>
        <w:ind w:firstLine="0" w:firstLineChars="0"/>
        <w:jc w:val="center"/>
        <w:rPr>
          <w:rFonts w:ascii="黑体" w:hAnsi="黑体" w:eastAsia="黑体"/>
          <w:bCs/>
          <w:szCs w:val="21"/>
        </w:rPr>
      </w:pPr>
    </w:p>
    <w:p w14:paraId="2F3621DB">
      <w:pPr>
        <w:pStyle w:val="29"/>
        <w:tabs>
          <w:tab w:val="center" w:pos="4201"/>
          <w:tab w:val="right" w:leader="dot" w:pos="9298"/>
        </w:tabs>
        <w:ind w:firstLine="0" w:firstLineChars="0"/>
        <w:jc w:val="center"/>
        <w:rPr>
          <w:rFonts w:ascii="黑体" w:hAnsi="黑体" w:eastAsia="黑体"/>
          <w:bCs/>
          <w:szCs w:val="21"/>
        </w:rPr>
      </w:pPr>
    </w:p>
    <w:p w14:paraId="4ABDA8FF">
      <w:pPr>
        <w:pStyle w:val="29"/>
        <w:tabs>
          <w:tab w:val="center" w:pos="4201"/>
          <w:tab w:val="right" w:leader="dot" w:pos="9298"/>
        </w:tabs>
        <w:ind w:firstLine="0" w:firstLineChars="0"/>
        <w:jc w:val="center"/>
        <w:rPr>
          <w:rFonts w:ascii="黑体" w:hAnsi="黑体" w:eastAsia="黑体"/>
          <w:bCs/>
          <w:szCs w:val="21"/>
        </w:rPr>
      </w:pPr>
    </w:p>
    <w:p w14:paraId="690921B1">
      <w:pPr>
        <w:pStyle w:val="29"/>
        <w:tabs>
          <w:tab w:val="center" w:pos="4201"/>
          <w:tab w:val="right" w:leader="dot" w:pos="9298"/>
        </w:tabs>
        <w:ind w:firstLine="0" w:firstLineChars="0"/>
        <w:jc w:val="center"/>
        <w:rPr>
          <w:rFonts w:ascii="黑体" w:hAnsi="黑体" w:eastAsia="黑体"/>
          <w:bCs/>
          <w:szCs w:val="21"/>
        </w:rPr>
      </w:pPr>
    </w:p>
    <w:p w14:paraId="1E5E6216">
      <w:pPr>
        <w:pStyle w:val="29"/>
        <w:tabs>
          <w:tab w:val="center" w:pos="4201"/>
          <w:tab w:val="right" w:leader="dot" w:pos="9298"/>
        </w:tabs>
        <w:ind w:firstLine="0" w:firstLineChars="0"/>
        <w:jc w:val="center"/>
        <w:rPr>
          <w:rFonts w:ascii="黑体" w:hAnsi="黑体" w:eastAsia="黑体"/>
          <w:bCs/>
          <w:szCs w:val="21"/>
        </w:rPr>
      </w:pPr>
    </w:p>
    <w:p w14:paraId="25E5B737">
      <w:pPr>
        <w:pStyle w:val="29"/>
        <w:tabs>
          <w:tab w:val="center" w:pos="4201"/>
          <w:tab w:val="right" w:leader="dot" w:pos="9298"/>
        </w:tabs>
        <w:ind w:firstLine="0" w:firstLineChars="0"/>
        <w:jc w:val="center"/>
        <w:rPr>
          <w:rFonts w:ascii="黑体" w:hAnsi="黑体" w:eastAsia="黑体"/>
          <w:bCs/>
          <w:szCs w:val="21"/>
        </w:rPr>
      </w:pPr>
    </w:p>
    <w:p w14:paraId="78B28EEC">
      <w:pPr>
        <w:pStyle w:val="29"/>
        <w:tabs>
          <w:tab w:val="center" w:pos="4201"/>
          <w:tab w:val="right" w:leader="dot" w:pos="9298"/>
        </w:tabs>
        <w:ind w:firstLine="0" w:firstLineChars="0"/>
        <w:jc w:val="center"/>
        <w:rPr>
          <w:rFonts w:ascii="黑体" w:hAnsi="黑体" w:eastAsia="黑体"/>
          <w:bCs/>
          <w:szCs w:val="21"/>
        </w:rPr>
      </w:pPr>
    </w:p>
    <w:p w14:paraId="7521DAAF">
      <w:pPr>
        <w:pStyle w:val="29"/>
        <w:tabs>
          <w:tab w:val="center" w:pos="4201"/>
          <w:tab w:val="right" w:leader="dot" w:pos="9298"/>
        </w:tabs>
        <w:ind w:firstLine="0" w:firstLineChars="0"/>
        <w:jc w:val="center"/>
        <w:rPr>
          <w:rFonts w:ascii="黑体" w:hAnsi="黑体" w:eastAsia="黑体"/>
          <w:bCs/>
          <w:szCs w:val="21"/>
        </w:rPr>
      </w:pPr>
    </w:p>
    <w:p w14:paraId="2ECF5B98">
      <w:pPr>
        <w:pStyle w:val="29"/>
        <w:tabs>
          <w:tab w:val="center" w:pos="4201"/>
          <w:tab w:val="right" w:leader="dot" w:pos="9298"/>
        </w:tabs>
        <w:ind w:firstLine="0" w:firstLineChars="0"/>
        <w:jc w:val="center"/>
        <w:rPr>
          <w:rFonts w:ascii="黑体" w:hAnsi="黑体" w:eastAsia="黑体"/>
          <w:bCs/>
          <w:szCs w:val="21"/>
        </w:rPr>
      </w:pPr>
    </w:p>
    <w:p w14:paraId="63F99EF9">
      <w:pPr>
        <w:pStyle w:val="29"/>
        <w:tabs>
          <w:tab w:val="center" w:pos="4201"/>
          <w:tab w:val="right" w:leader="dot" w:pos="9298"/>
        </w:tabs>
        <w:ind w:firstLine="0" w:firstLineChars="0"/>
        <w:jc w:val="center"/>
        <w:rPr>
          <w:rFonts w:ascii="黑体" w:hAnsi="黑体" w:eastAsia="黑体"/>
          <w:bCs/>
          <w:szCs w:val="21"/>
        </w:rPr>
      </w:pPr>
    </w:p>
    <w:p w14:paraId="7A549E9B">
      <w:pPr>
        <w:pStyle w:val="29"/>
        <w:tabs>
          <w:tab w:val="center" w:pos="4201"/>
          <w:tab w:val="right" w:leader="dot" w:pos="9298"/>
        </w:tabs>
        <w:ind w:firstLine="0" w:firstLineChars="0"/>
        <w:jc w:val="center"/>
        <w:rPr>
          <w:rFonts w:ascii="黑体" w:hAnsi="黑体" w:eastAsia="黑体"/>
          <w:bCs/>
          <w:szCs w:val="21"/>
        </w:rPr>
      </w:pPr>
    </w:p>
    <w:p w14:paraId="1B558C95">
      <w:pPr>
        <w:pStyle w:val="29"/>
        <w:tabs>
          <w:tab w:val="center" w:pos="4201"/>
          <w:tab w:val="right" w:leader="dot" w:pos="9298"/>
        </w:tabs>
        <w:ind w:firstLine="0" w:firstLineChars="0"/>
        <w:jc w:val="center"/>
        <w:rPr>
          <w:rFonts w:ascii="黑体" w:hAnsi="黑体" w:eastAsia="黑体"/>
          <w:bCs/>
          <w:szCs w:val="21"/>
        </w:rPr>
      </w:pPr>
    </w:p>
    <w:p w14:paraId="3BFEF5BD">
      <w:pPr>
        <w:pStyle w:val="29"/>
        <w:tabs>
          <w:tab w:val="center" w:pos="4201"/>
          <w:tab w:val="right" w:leader="dot" w:pos="9298"/>
        </w:tabs>
        <w:ind w:firstLine="0" w:firstLineChars="0"/>
        <w:jc w:val="center"/>
        <w:rPr>
          <w:rFonts w:ascii="黑体" w:hAnsi="黑体" w:eastAsia="黑体"/>
          <w:bCs/>
          <w:szCs w:val="21"/>
        </w:rPr>
      </w:pPr>
    </w:p>
    <w:p w14:paraId="3F2623AF">
      <w:pPr>
        <w:pStyle w:val="29"/>
        <w:tabs>
          <w:tab w:val="center" w:pos="4201"/>
          <w:tab w:val="right" w:leader="dot" w:pos="9298"/>
        </w:tabs>
        <w:ind w:firstLine="0" w:firstLineChars="0"/>
        <w:jc w:val="center"/>
        <w:rPr>
          <w:rFonts w:ascii="黑体" w:hAnsi="黑体" w:eastAsia="黑体"/>
          <w:bCs/>
          <w:szCs w:val="21"/>
        </w:rPr>
      </w:pPr>
    </w:p>
    <w:p w14:paraId="3533CA1D">
      <w:pPr>
        <w:pStyle w:val="29"/>
        <w:tabs>
          <w:tab w:val="center" w:pos="4201"/>
          <w:tab w:val="right" w:leader="dot" w:pos="9298"/>
        </w:tabs>
        <w:ind w:firstLine="0" w:firstLineChars="0"/>
        <w:jc w:val="center"/>
        <w:rPr>
          <w:rFonts w:ascii="黑体" w:hAnsi="黑体" w:eastAsia="黑体"/>
          <w:bCs/>
          <w:szCs w:val="21"/>
        </w:rPr>
      </w:pPr>
    </w:p>
    <w:p w14:paraId="1EDD96B3">
      <w:pPr>
        <w:pStyle w:val="29"/>
        <w:tabs>
          <w:tab w:val="center" w:pos="4201"/>
          <w:tab w:val="right" w:leader="dot" w:pos="9298"/>
        </w:tabs>
        <w:ind w:firstLine="0" w:firstLineChars="0"/>
        <w:jc w:val="center"/>
        <w:rPr>
          <w:rFonts w:ascii="黑体" w:hAnsi="黑体" w:eastAsia="黑体"/>
          <w:bCs/>
          <w:szCs w:val="21"/>
        </w:rPr>
      </w:pPr>
    </w:p>
    <w:p w14:paraId="35EB148A">
      <w:pPr>
        <w:pStyle w:val="29"/>
        <w:tabs>
          <w:tab w:val="center" w:pos="4201"/>
          <w:tab w:val="right" w:leader="dot" w:pos="9298"/>
        </w:tabs>
        <w:ind w:firstLine="0" w:firstLineChars="0"/>
        <w:jc w:val="center"/>
        <w:rPr>
          <w:rFonts w:ascii="黑体" w:hAnsi="黑体" w:eastAsia="黑体"/>
          <w:bCs/>
          <w:szCs w:val="21"/>
        </w:rPr>
      </w:pPr>
    </w:p>
    <w:p w14:paraId="167FBEDD">
      <w:pPr>
        <w:pStyle w:val="29"/>
        <w:tabs>
          <w:tab w:val="center" w:pos="4201"/>
          <w:tab w:val="right" w:leader="dot" w:pos="9298"/>
        </w:tabs>
        <w:ind w:firstLine="0" w:firstLineChars="0"/>
        <w:jc w:val="center"/>
        <w:rPr>
          <w:rFonts w:ascii="黑体" w:hAnsi="黑体" w:eastAsia="黑体"/>
          <w:bCs/>
          <w:szCs w:val="21"/>
        </w:rPr>
      </w:pPr>
    </w:p>
    <w:p w14:paraId="3DC9D7C3">
      <w:pPr>
        <w:pStyle w:val="29"/>
        <w:tabs>
          <w:tab w:val="center" w:pos="4201"/>
          <w:tab w:val="right" w:leader="dot" w:pos="9298"/>
        </w:tabs>
        <w:ind w:firstLine="0" w:firstLineChars="0"/>
        <w:jc w:val="center"/>
        <w:rPr>
          <w:rFonts w:ascii="黑体" w:hAnsi="黑体" w:eastAsia="黑体"/>
          <w:bCs/>
          <w:szCs w:val="21"/>
        </w:rPr>
      </w:pPr>
    </w:p>
    <w:p w14:paraId="03672584">
      <w:pPr>
        <w:pStyle w:val="29"/>
        <w:tabs>
          <w:tab w:val="center" w:pos="4201"/>
          <w:tab w:val="right" w:leader="dot" w:pos="9298"/>
        </w:tabs>
        <w:ind w:firstLine="0" w:firstLineChars="0"/>
        <w:jc w:val="center"/>
        <w:rPr>
          <w:rFonts w:ascii="黑体" w:hAnsi="黑体" w:eastAsia="黑体"/>
          <w:bCs/>
          <w:szCs w:val="21"/>
        </w:rPr>
      </w:pPr>
    </w:p>
    <w:p w14:paraId="2716EBFB">
      <w:pPr>
        <w:pStyle w:val="29"/>
        <w:tabs>
          <w:tab w:val="center" w:pos="4201"/>
          <w:tab w:val="right" w:leader="dot" w:pos="9298"/>
        </w:tabs>
        <w:ind w:firstLine="0" w:firstLineChars="0"/>
        <w:jc w:val="center"/>
        <w:rPr>
          <w:rFonts w:ascii="黑体" w:hAnsi="黑体" w:eastAsia="黑体"/>
          <w:bCs/>
          <w:szCs w:val="21"/>
        </w:rPr>
      </w:pPr>
    </w:p>
    <w:p w14:paraId="3567CA69">
      <w:pPr>
        <w:pStyle w:val="29"/>
        <w:tabs>
          <w:tab w:val="center" w:pos="4201"/>
          <w:tab w:val="right" w:leader="dot" w:pos="9298"/>
        </w:tabs>
        <w:ind w:firstLine="0" w:firstLineChars="0"/>
        <w:jc w:val="center"/>
        <w:rPr>
          <w:rFonts w:ascii="黑体" w:hAnsi="黑体" w:eastAsia="黑体"/>
          <w:bCs/>
          <w:szCs w:val="21"/>
        </w:rPr>
      </w:pPr>
    </w:p>
    <w:p w14:paraId="69CCE9E5">
      <w:pPr>
        <w:pStyle w:val="29"/>
        <w:tabs>
          <w:tab w:val="center" w:pos="4201"/>
          <w:tab w:val="right" w:leader="dot" w:pos="9298"/>
        </w:tabs>
        <w:ind w:firstLine="0" w:firstLineChars="0"/>
        <w:jc w:val="center"/>
        <w:rPr>
          <w:rFonts w:ascii="黑体" w:hAnsi="黑体" w:eastAsia="黑体"/>
          <w:bCs/>
          <w:szCs w:val="21"/>
        </w:rPr>
      </w:pPr>
    </w:p>
    <w:p w14:paraId="7535E887">
      <w:pPr>
        <w:pStyle w:val="29"/>
        <w:tabs>
          <w:tab w:val="center" w:pos="4201"/>
          <w:tab w:val="right" w:leader="dot" w:pos="9298"/>
        </w:tabs>
        <w:ind w:firstLine="0" w:firstLineChars="0"/>
        <w:jc w:val="center"/>
        <w:rPr>
          <w:rFonts w:ascii="黑体" w:hAnsi="黑体" w:eastAsia="黑体"/>
          <w:bCs/>
          <w:szCs w:val="21"/>
        </w:rPr>
      </w:pPr>
    </w:p>
    <w:p w14:paraId="30268A4A">
      <w:pPr>
        <w:pStyle w:val="29"/>
        <w:tabs>
          <w:tab w:val="center" w:pos="4201"/>
          <w:tab w:val="right" w:leader="dot" w:pos="9298"/>
        </w:tabs>
        <w:ind w:firstLine="0" w:firstLineChars="0"/>
        <w:jc w:val="center"/>
        <w:rPr>
          <w:rFonts w:ascii="黑体" w:hAnsi="黑体" w:eastAsia="黑体"/>
          <w:bCs/>
          <w:szCs w:val="21"/>
        </w:rPr>
      </w:pPr>
    </w:p>
    <w:p w14:paraId="51940D7A">
      <w:pPr>
        <w:pStyle w:val="29"/>
        <w:tabs>
          <w:tab w:val="center" w:pos="4201"/>
          <w:tab w:val="right" w:leader="dot" w:pos="9298"/>
        </w:tabs>
        <w:ind w:firstLine="0" w:firstLineChars="0"/>
        <w:jc w:val="center"/>
        <w:rPr>
          <w:rFonts w:ascii="黑体" w:hAnsi="黑体" w:eastAsia="黑体"/>
          <w:bCs/>
          <w:szCs w:val="21"/>
        </w:rPr>
      </w:pPr>
    </w:p>
    <w:p w14:paraId="37D5DDEF">
      <w:pPr>
        <w:pStyle w:val="29"/>
        <w:tabs>
          <w:tab w:val="center" w:pos="4201"/>
          <w:tab w:val="right" w:leader="dot" w:pos="9298"/>
        </w:tabs>
        <w:ind w:firstLine="0" w:firstLineChars="0"/>
        <w:jc w:val="center"/>
        <w:rPr>
          <w:rFonts w:ascii="黑体" w:hAnsi="黑体" w:eastAsia="黑体"/>
          <w:bCs/>
          <w:szCs w:val="21"/>
        </w:rPr>
      </w:pPr>
    </w:p>
    <w:p w14:paraId="22AFE0C9">
      <w:pPr>
        <w:pStyle w:val="29"/>
        <w:tabs>
          <w:tab w:val="center" w:pos="4201"/>
          <w:tab w:val="right" w:leader="dot" w:pos="9298"/>
        </w:tabs>
        <w:ind w:firstLine="0" w:firstLineChars="0"/>
        <w:jc w:val="center"/>
        <w:rPr>
          <w:rFonts w:ascii="黑体" w:hAnsi="黑体" w:eastAsia="黑体"/>
          <w:bCs/>
          <w:szCs w:val="21"/>
        </w:rPr>
      </w:pPr>
      <w:r>
        <w:rPr>
          <w:rFonts w:hint="eastAsia" w:ascii="黑体" w:hAnsi="黑体" w:eastAsia="黑体"/>
          <w:bCs/>
          <w:szCs w:val="21"/>
        </w:rPr>
        <w:t>附录  A</w:t>
      </w:r>
    </w:p>
    <w:p w14:paraId="504F3305">
      <w:pPr>
        <w:jc w:val="center"/>
        <w:rPr>
          <w:rFonts w:ascii="黑体" w:hAnsi="黑体" w:eastAsia="黑体" w:cs="Times New Roman"/>
          <w:bCs/>
          <w:szCs w:val="21"/>
        </w:rPr>
      </w:pPr>
      <w:r>
        <w:rPr>
          <w:rFonts w:ascii="黑体" w:hAnsi="黑体" w:eastAsia="黑体" w:cs="Times New Roman"/>
          <w:bCs/>
          <w:szCs w:val="21"/>
        </w:rPr>
        <w:t>（</w:t>
      </w:r>
      <w:r>
        <w:rPr>
          <w:rFonts w:hint="eastAsia" w:ascii="黑体" w:hAnsi="黑体" w:eastAsia="黑体" w:cs="Times New Roman"/>
          <w:bCs/>
          <w:szCs w:val="21"/>
        </w:rPr>
        <w:t>资料</w:t>
      </w:r>
      <w:r>
        <w:rPr>
          <w:rFonts w:ascii="黑体" w:hAnsi="黑体" w:eastAsia="黑体" w:cs="Times New Roman"/>
          <w:bCs/>
          <w:szCs w:val="21"/>
        </w:rPr>
        <w:t>性附录）</w:t>
      </w:r>
    </w:p>
    <w:p w14:paraId="096522E8">
      <w:pPr>
        <w:pStyle w:val="29"/>
        <w:tabs>
          <w:tab w:val="center" w:pos="4201"/>
          <w:tab w:val="right" w:leader="dot" w:pos="9298"/>
        </w:tabs>
        <w:snapToGrid w:val="0"/>
        <w:spacing w:line="240" w:lineRule="exact"/>
        <w:ind w:firstLine="0" w:firstLineChars="0"/>
        <w:jc w:val="center"/>
        <w:rPr>
          <w:rFonts w:ascii="Times New Roman" w:eastAsia="黑体"/>
          <w:szCs w:val="21"/>
        </w:rPr>
      </w:pPr>
      <w:r>
        <w:rPr>
          <w:rFonts w:hint="eastAsia" w:ascii="Times New Roman" w:eastAsia="黑体"/>
          <w:szCs w:val="21"/>
        </w:rPr>
        <w:t>绿色食品  东北地区</w:t>
      </w:r>
      <w:r>
        <w:rPr>
          <w:rFonts w:ascii="Times New Roman" w:eastAsia="黑体"/>
          <w:szCs w:val="21"/>
        </w:rPr>
        <w:t>玉米</w:t>
      </w:r>
      <w:r>
        <w:rPr>
          <w:rFonts w:hint="eastAsia" w:ascii="Times New Roman" w:eastAsia="黑体"/>
          <w:szCs w:val="21"/>
        </w:rPr>
        <w:t>生产</w:t>
      </w:r>
      <w:r>
        <w:rPr>
          <w:rFonts w:ascii="Times New Roman" w:eastAsia="黑体"/>
          <w:szCs w:val="21"/>
        </w:rPr>
        <w:t>主要病虫草害化学防治</w:t>
      </w:r>
      <w:r>
        <w:rPr>
          <w:rFonts w:hint="eastAsia" w:ascii="Times New Roman" w:eastAsia="黑体"/>
          <w:szCs w:val="21"/>
        </w:rPr>
        <w:t>方案</w:t>
      </w:r>
    </w:p>
    <w:p w14:paraId="07F8DAD4">
      <w:pPr>
        <w:pStyle w:val="29"/>
        <w:tabs>
          <w:tab w:val="center" w:pos="4201"/>
          <w:tab w:val="right" w:leader="dot" w:pos="9298"/>
        </w:tabs>
        <w:snapToGrid w:val="0"/>
        <w:spacing w:line="240" w:lineRule="exact"/>
        <w:ind w:firstLine="0" w:firstLineChars="0"/>
        <w:jc w:val="center"/>
        <w:rPr>
          <w:rFonts w:ascii="Times New Roman" w:eastAsia="黑体"/>
          <w:szCs w:val="21"/>
        </w:rPr>
      </w:pPr>
    </w:p>
    <w:tbl>
      <w:tblPr>
        <w:tblStyle w:val="10"/>
        <w:tblpPr w:leftFromText="180" w:rightFromText="180" w:vertAnchor="text" w:horzAnchor="margin" w:tblpXSpec="center" w:tblpY="413"/>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2268"/>
        <w:gridCol w:w="1931"/>
        <w:gridCol w:w="1187"/>
        <w:gridCol w:w="1187"/>
      </w:tblGrid>
      <w:tr w14:paraId="6842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384" w:type="dxa"/>
            <w:vAlign w:val="center"/>
          </w:tcPr>
          <w:p w14:paraId="70EFA17F">
            <w:pPr>
              <w:widowControl/>
              <w:adjustRightInd w:val="0"/>
              <w:snapToGrid w:val="0"/>
              <w:jc w:val="center"/>
              <w:rPr>
                <w:rFonts w:ascii="宋体" w:hAnsi="宋体" w:eastAsia="宋体" w:cs="宋体"/>
                <w:bCs/>
                <w:kern w:val="0"/>
                <w:szCs w:val="21"/>
              </w:rPr>
            </w:pPr>
            <w:r>
              <w:rPr>
                <w:rFonts w:hint="eastAsia" w:ascii="宋体" w:hAnsi="宋体" w:eastAsia="宋体" w:cs="宋体"/>
                <w:bCs/>
                <w:kern w:val="0"/>
                <w:szCs w:val="21"/>
              </w:rPr>
              <w:t>防治对象</w:t>
            </w:r>
          </w:p>
        </w:tc>
        <w:tc>
          <w:tcPr>
            <w:tcW w:w="1418" w:type="dxa"/>
            <w:vAlign w:val="center"/>
          </w:tcPr>
          <w:p w14:paraId="341384F7">
            <w:pPr>
              <w:widowControl/>
              <w:adjustRightInd w:val="0"/>
              <w:snapToGrid w:val="0"/>
              <w:jc w:val="center"/>
              <w:rPr>
                <w:rFonts w:ascii="宋体" w:hAnsi="宋体" w:eastAsia="宋体" w:cs="宋体"/>
                <w:bCs/>
                <w:kern w:val="0"/>
                <w:szCs w:val="21"/>
              </w:rPr>
            </w:pPr>
            <w:r>
              <w:rPr>
                <w:rFonts w:hint="eastAsia" w:ascii="宋体" w:hAnsi="宋体" w:eastAsia="宋体" w:cs="宋体"/>
                <w:bCs/>
                <w:kern w:val="0"/>
                <w:szCs w:val="21"/>
              </w:rPr>
              <w:t>防治时期</w:t>
            </w:r>
          </w:p>
        </w:tc>
        <w:tc>
          <w:tcPr>
            <w:tcW w:w="2268" w:type="dxa"/>
            <w:vAlign w:val="center"/>
          </w:tcPr>
          <w:p w14:paraId="6BE0CD12">
            <w:pPr>
              <w:widowControl/>
              <w:adjustRightInd w:val="0"/>
              <w:snapToGrid w:val="0"/>
              <w:jc w:val="center"/>
              <w:rPr>
                <w:rFonts w:ascii="宋体" w:hAnsi="宋体" w:eastAsia="宋体" w:cs="宋体"/>
                <w:bCs/>
                <w:kern w:val="0"/>
                <w:szCs w:val="21"/>
              </w:rPr>
            </w:pPr>
            <w:r>
              <w:rPr>
                <w:rFonts w:hint="eastAsia" w:ascii="宋体" w:hAnsi="宋体" w:eastAsia="宋体" w:cs="宋体"/>
                <w:bCs/>
                <w:kern w:val="0"/>
                <w:szCs w:val="21"/>
              </w:rPr>
              <w:t>农药名称</w:t>
            </w:r>
          </w:p>
        </w:tc>
        <w:tc>
          <w:tcPr>
            <w:tcW w:w="1931" w:type="dxa"/>
            <w:vAlign w:val="center"/>
          </w:tcPr>
          <w:p w14:paraId="2A282779">
            <w:pPr>
              <w:widowControl/>
              <w:adjustRightInd w:val="0"/>
              <w:snapToGrid w:val="0"/>
              <w:jc w:val="center"/>
              <w:rPr>
                <w:rFonts w:ascii="宋体" w:hAnsi="宋体" w:eastAsia="宋体" w:cs="Times New Roman"/>
                <w:kern w:val="0"/>
                <w:szCs w:val="21"/>
              </w:rPr>
            </w:pPr>
            <w:r>
              <w:rPr>
                <w:rFonts w:hint="eastAsia" w:ascii="宋体" w:hAnsi="宋体" w:eastAsia="宋体" w:cs="宋体"/>
                <w:bCs/>
                <w:kern w:val="0"/>
                <w:szCs w:val="21"/>
              </w:rPr>
              <w:t>使用剂量</w:t>
            </w:r>
          </w:p>
          <w:p w14:paraId="617F1137">
            <w:pPr>
              <w:widowControl/>
              <w:adjustRightInd w:val="0"/>
              <w:snapToGrid w:val="0"/>
              <w:jc w:val="center"/>
              <w:rPr>
                <w:rFonts w:ascii="宋体" w:hAnsi="宋体" w:eastAsia="宋体" w:cs="宋体"/>
                <w:bCs/>
                <w:kern w:val="0"/>
                <w:szCs w:val="21"/>
              </w:rPr>
            </w:pPr>
            <w:r>
              <w:rPr>
                <w:rFonts w:ascii="宋体" w:hAnsi="宋体" w:eastAsia="宋体" w:cs="Times New Roman"/>
                <w:kern w:val="0"/>
                <w:szCs w:val="21"/>
              </w:rPr>
              <w:t>ml(g)/</w:t>
            </w:r>
            <w:r>
              <w:rPr>
                <w:rFonts w:hint="eastAsia" w:ascii="宋体" w:hAnsi="宋体" w:eastAsia="宋体" w:cs="Times New Roman"/>
                <w:kern w:val="0"/>
                <w:szCs w:val="21"/>
              </w:rPr>
              <w:t>亩</w:t>
            </w:r>
          </w:p>
        </w:tc>
        <w:tc>
          <w:tcPr>
            <w:tcW w:w="1187" w:type="dxa"/>
            <w:vAlign w:val="center"/>
          </w:tcPr>
          <w:p w14:paraId="62C45706">
            <w:pPr>
              <w:widowControl/>
              <w:adjustRightInd w:val="0"/>
              <w:snapToGrid w:val="0"/>
              <w:jc w:val="center"/>
              <w:rPr>
                <w:rFonts w:ascii="宋体" w:hAnsi="宋体" w:eastAsia="宋体" w:cs="宋体"/>
                <w:bCs/>
                <w:kern w:val="0"/>
                <w:szCs w:val="21"/>
              </w:rPr>
            </w:pPr>
            <w:r>
              <w:rPr>
                <w:rFonts w:hint="eastAsia" w:ascii="宋体" w:hAnsi="宋体" w:eastAsia="宋体" w:cs="宋体"/>
                <w:bCs/>
                <w:kern w:val="0"/>
                <w:szCs w:val="21"/>
              </w:rPr>
              <w:t>施药方法</w:t>
            </w:r>
          </w:p>
        </w:tc>
        <w:tc>
          <w:tcPr>
            <w:tcW w:w="1187" w:type="dxa"/>
            <w:vAlign w:val="center"/>
          </w:tcPr>
          <w:p w14:paraId="214B7E89">
            <w:pPr>
              <w:widowControl/>
              <w:adjustRightInd w:val="0"/>
              <w:snapToGrid w:val="0"/>
              <w:jc w:val="center"/>
              <w:rPr>
                <w:rFonts w:ascii="宋体" w:hAnsi="宋体" w:eastAsia="宋体" w:cs="宋体"/>
                <w:bCs/>
                <w:kern w:val="0"/>
                <w:szCs w:val="21"/>
              </w:rPr>
            </w:pPr>
            <w:r>
              <w:rPr>
                <w:rFonts w:hint="eastAsia" w:ascii="宋体" w:hAnsi="宋体" w:eastAsia="宋体" w:cs="宋体"/>
                <w:bCs/>
                <w:kern w:val="0"/>
                <w:szCs w:val="21"/>
              </w:rPr>
              <w:t>安全间隔期天数</w:t>
            </w:r>
          </w:p>
        </w:tc>
      </w:tr>
      <w:tr w14:paraId="4EF9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84" w:type="dxa"/>
            <w:vMerge w:val="restart"/>
            <w:vAlign w:val="center"/>
          </w:tcPr>
          <w:p w14:paraId="4C4CC4F9">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玉米螟</w:t>
            </w:r>
          </w:p>
        </w:tc>
        <w:tc>
          <w:tcPr>
            <w:tcW w:w="1418" w:type="dxa"/>
            <w:vAlign w:val="center"/>
          </w:tcPr>
          <w:p w14:paraId="382D6ACF">
            <w:pPr>
              <w:widowControl/>
              <w:adjustRightInd w:val="0"/>
              <w:snapToGrid w:val="0"/>
              <w:jc w:val="center"/>
              <w:rPr>
                <w:rFonts w:ascii="宋体" w:hAnsi="宋体" w:eastAsia="宋体" w:cs="宋体"/>
                <w:kern w:val="0"/>
                <w:szCs w:val="21"/>
              </w:rPr>
            </w:pPr>
            <w:r>
              <w:rPr>
                <w:rStyle w:val="40"/>
                <w:rFonts w:ascii="宋体" w:hAnsi="宋体" w:eastAsia="宋体" w:cs="Times New Roman"/>
                <w:szCs w:val="21"/>
                <w:shd w:val="clear" w:color="auto" w:fill="FFFFFF"/>
              </w:rPr>
              <w:t> </w:t>
            </w:r>
            <w:r>
              <w:rPr>
                <w:rFonts w:ascii="宋体" w:hAnsi="宋体" w:eastAsia="宋体" w:cs="Times New Roman"/>
                <w:szCs w:val="21"/>
                <w:shd w:val="clear" w:color="auto" w:fill="FFFFFF"/>
              </w:rPr>
              <w:t>玉米螟卵孵化高峰期</w:t>
            </w:r>
          </w:p>
        </w:tc>
        <w:tc>
          <w:tcPr>
            <w:tcW w:w="2268" w:type="dxa"/>
            <w:vAlign w:val="center"/>
          </w:tcPr>
          <w:p w14:paraId="416765AF">
            <w:pPr>
              <w:widowControl/>
              <w:adjustRightInd w:val="0"/>
              <w:snapToGrid w:val="0"/>
              <w:jc w:val="center"/>
              <w:rPr>
                <w:rFonts w:ascii="宋体" w:hAnsi="宋体" w:eastAsia="宋体" w:cs="宋体"/>
                <w:kern w:val="0"/>
                <w:szCs w:val="21"/>
              </w:rPr>
            </w:pPr>
            <w:r>
              <w:rPr>
                <w:rFonts w:ascii="宋体" w:hAnsi="宋体" w:eastAsia="宋体" w:cs="Times New Roman"/>
                <w:szCs w:val="21"/>
              </w:rPr>
              <w:t>200 g/L氯虫苯甲酰胺悬浮剂</w:t>
            </w:r>
          </w:p>
        </w:tc>
        <w:tc>
          <w:tcPr>
            <w:tcW w:w="1931" w:type="dxa"/>
            <w:vAlign w:val="center"/>
          </w:tcPr>
          <w:p w14:paraId="36B4C64A">
            <w:pPr>
              <w:widowControl/>
              <w:adjustRightInd w:val="0"/>
              <w:snapToGrid w:val="0"/>
              <w:jc w:val="center"/>
              <w:rPr>
                <w:rFonts w:ascii="宋体" w:hAnsi="宋体" w:eastAsia="宋体" w:cs="宋体"/>
                <w:kern w:val="0"/>
                <w:szCs w:val="21"/>
              </w:rPr>
            </w:pPr>
            <w:r>
              <w:rPr>
                <w:rFonts w:hint="eastAsia" w:ascii="宋体" w:hAnsi="宋体" w:eastAsia="宋体" w:cs="Times New Roman"/>
                <w:szCs w:val="21"/>
              </w:rPr>
              <w:t>3</w:t>
            </w:r>
            <w:r>
              <w:rPr>
                <w:rFonts w:ascii="宋体" w:hAnsi="宋体" w:eastAsia="宋体" w:cs="Times New Roman"/>
                <w:szCs w:val="21"/>
              </w:rPr>
              <w:t>～5 mL/亩</w:t>
            </w:r>
          </w:p>
        </w:tc>
        <w:tc>
          <w:tcPr>
            <w:tcW w:w="1187" w:type="dxa"/>
            <w:vAlign w:val="center"/>
          </w:tcPr>
          <w:p w14:paraId="5027C4F2">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喷雾</w:t>
            </w:r>
          </w:p>
        </w:tc>
        <w:tc>
          <w:tcPr>
            <w:tcW w:w="1187" w:type="dxa"/>
            <w:vAlign w:val="center"/>
          </w:tcPr>
          <w:p w14:paraId="20BB5D5F">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21</w:t>
            </w:r>
          </w:p>
        </w:tc>
      </w:tr>
      <w:tr w14:paraId="0A72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84" w:type="dxa"/>
            <w:vMerge w:val="continue"/>
            <w:vAlign w:val="center"/>
          </w:tcPr>
          <w:p w14:paraId="5CE45776">
            <w:pPr>
              <w:widowControl/>
              <w:adjustRightInd w:val="0"/>
              <w:snapToGrid w:val="0"/>
              <w:jc w:val="center"/>
              <w:rPr>
                <w:rFonts w:ascii="宋体" w:hAnsi="宋体" w:eastAsia="宋体" w:cs="宋体"/>
                <w:kern w:val="0"/>
                <w:szCs w:val="21"/>
              </w:rPr>
            </w:pPr>
          </w:p>
        </w:tc>
        <w:tc>
          <w:tcPr>
            <w:tcW w:w="1418" w:type="dxa"/>
            <w:vAlign w:val="center"/>
          </w:tcPr>
          <w:p w14:paraId="3EFC2BCD">
            <w:pPr>
              <w:adjustRightInd w:val="0"/>
              <w:snapToGrid w:val="0"/>
              <w:jc w:val="center"/>
              <w:rPr>
                <w:rFonts w:ascii="宋体" w:hAnsi="宋体" w:eastAsia="宋体" w:cs="宋体"/>
                <w:kern w:val="0"/>
                <w:szCs w:val="21"/>
              </w:rPr>
            </w:pPr>
            <w:r>
              <w:rPr>
                <w:rFonts w:ascii="宋体" w:hAnsi="宋体" w:eastAsia="宋体" w:cs="微软雅黑"/>
                <w:color w:val="000000"/>
                <w:szCs w:val="21"/>
              </w:rPr>
              <w:t>心叶期</w:t>
            </w:r>
          </w:p>
        </w:tc>
        <w:tc>
          <w:tcPr>
            <w:tcW w:w="2268" w:type="dxa"/>
            <w:vAlign w:val="center"/>
          </w:tcPr>
          <w:p w14:paraId="6B291A75">
            <w:pPr>
              <w:widowControl/>
              <w:adjustRightInd w:val="0"/>
              <w:snapToGrid w:val="0"/>
              <w:jc w:val="center"/>
              <w:rPr>
                <w:rFonts w:ascii="宋体" w:hAnsi="宋体" w:eastAsia="宋体" w:cs="宋体"/>
                <w:kern w:val="0"/>
                <w:szCs w:val="21"/>
              </w:rPr>
            </w:pPr>
            <w:r>
              <w:rPr>
                <w:rFonts w:hint="eastAsia" w:ascii="宋体" w:hAnsi="宋体" w:eastAsia="宋体" w:cs="宋体"/>
                <w:bCs/>
                <w:szCs w:val="21"/>
              </w:rPr>
              <w:t>3%辛硫磷颗粒剂</w:t>
            </w:r>
          </w:p>
        </w:tc>
        <w:tc>
          <w:tcPr>
            <w:tcW w:w="1931" w:type="dxa"/>
            <w:vAlign w:val="center"/>
          </w:tcPr>
          <w:p w14:paraId="22E8E32E">
            <w:pPr>
              <w:widowControl/>
              <w:adjustRightInd w:val="0"/>
              <w:snapToGrid w:val="0"/>
              <w:jc w:val="center"/>
              <w:rPr>
                <w:rFonts w:ascii="宋体" w:hAnsi="宋体" w:eastAsia="宋体" w:cs="宋体"/>
                <w:kern w:val="0"/>
                <w:szCs w:val="21"/>
              </w:rPr>
            </w:pPr>
            <w:r>
              <w:rPr>
                <w:rFonts w:hint="eastAsia" w:ascii="宋体" w:hAnsi="宋体" w:eastAsia="宋体" w:cs="Times New Roman"/>
                <w:szCs w:val="21"/>
              </w:rPr>
              <w:t>300</w:t>
            </w:r>
            <w:r>
              <w:rPr>
                <w:rFonts w:ascii="宋体" w:hAnsi="宋体" w:eastAsia="宋体" w:cs="Times New Roman"/>
                <w:szCs w:val="21"/>
              </w:rPr>
              <w:t>～</w:t>
            </w:r>
            <w:r>
              <w:rPr>
                <w:rFonts w:hint="eastAsia" w:ascii="宋体" w:hAnsi="宋体" w:eastAsia="宋体" w:cs="Times New Roman"/>
                <w:szCs w:val="21"/>
              </w:rPr>
              <w:t>400</w:t>
            </w:r>
            <w:r>
              <w:rPr>
                <w:rFonts w:ascii="宋体" w:hAnsi="宋体" w:eastAsia="宋体" w:cs="Times New Roman"/>
                <w:szCs w:val="21"/>
              </w:rPr>
              <w:t xml:space="preserve"> </w:t>
            </w:r>
            <w:r>
              <w:rPr>
                <w:rFonts w:hint="eastAsia" w:ascii="宋体" w:hAnsi="宋体" w:eastAsia="宋体" w:cs="Times New Roman"/>
                <w:szCs w:val="21"/>
              </w:rPr>
              <w:t>g</w:t>
            </w:r>
            <w:r>
              <w:rPr>
                <w:rFonts w:ascii="宋体" w:hAnsi="宋体" w:eastAsia="宋体" w:cs="Times New Roman"/>
                <w:szCs w:val="21"/>
              </w:rPr>
              <w:t>/亩</w:t>
            </w:r>
          </w:p>
        </w:tc>
        <w:tc>
          <w:tcPr>
            <w:tcW w:w="1187" w:type="dxa"/>
            <w:vAlign w:val="center"/>
          </w:tcPr>
          <w:p w14:paraId="5B602C1C">
            <w:pPr>
              <w:widowControl/>
              <w:adjustRightInd w:val="0"/>
              <w:snapToGrid w:val="0"/>
              <w:jc w:val="center"/>
              <w:rPr>
                <w:rFonts w:ascii="宋体" w:hAnsi="宋体" w:eastAsia="宋体" w:cs="宋体"/>
                <w:kern w:val="0"/>
                <w:szCs w:val="21"/>
              </w:rPr>
            </w:pPr>
            <w:r>
              <w:rPr>
                <w:rFonts w:hint="eastAsia" w:ascii="宋体" w:hAnsi="宋体" w:eastAsia="宋体" w:cs="Times New Roman"/>
                <w:szCs w:val="21"/>
                <w:shd w:val="clear" w:color="auto" w:fill="FFFFFF"/>
              </w:rPr>
              <w:t>喇叭口</w:t>
            </w:r>
            <w:r>
              <w:rPr>
                <w:rFonts w:ascii="宋体" w:hAnsi="宋体" w:eastAsia="宋体" w:cs="Times New Roman"/>
                <w:szCs w:val="21"/>
                <w:shd w:val="clear" w:color="auto" w:fill="FFFFFF"/>
              </w:rPr>
              <w:t>撒施</w:t>
            </w:r>
            <w:r>
              <w:rPr>
                <w:rFonts w:hint="eastAsia" w:ascii="宋体" w:hAnsi="宋体" w:eastAsia="宋体" w:cs="Times New Roman"/>
                <w:szCs w:val="21"/>
                <w:shd w:val="clear" w:color="auto" w:fill="FFFFFF"/>
              </w:rPr>
              <w:t>（拌细沙）</w:t>
            </w:r>
          </w:p>
        </w:tc>
        <w:tc>
          <w:tcPr>
            <w:tcW w:w="1187" w:type="dxa"/>
            <w:vAlign w:val="center"/>
          </w:tcPr>
          <w:p w14:paraId="13890431">
            <w:pPr>
              <w:widowControl/>
              <w:adjustRightInd w:val="0"/>
              <w:snapToGrid w:val="0"/>
              <w:jc w:val="center"/>
              <w:rPr>
                <w:rFonts w:ascii="宋体" w:hAnsi="宋体" w:eastAsia="宋体" w:cs="宋体"/>
                <w:bCs/>
                <w:szCs w:val="21"/>
              </w:rPr>
            </w:pPr>
            <w:r>
              <w:rPr>
                <w:rFonts w:hint="eastAsia" w:ascii="宋体" w:hAnsi="宋体" w:eastAsia="宋体" w:cs="宋体"/>
                <w:bCs/>
                <w:szCs w:val="21"/>
              </w:rPr>
              <w:t>每季最多1次</w:t>
            </w:r>
          </w:p>
        </w:tc>
      </w:tr>
      <w:tr w14:paraId="2184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84" w:type="dxa"/>
            <w:vMerge w:val="restart"/>
            <w:vAlign w:val="center"/>
          </w:tcPr>
          <w:p w14:paraId="688BF5CE">
            <w:pPr>
              <w:widowControl/>
              <w:adjustRightInd w:val="0"/>
              <w:snapToGrid w:val="0"/>
              <w:jc w:val="center"/>
              <w:rPr>
                <w:rFonts w:ascii="宋体" w:hAnsi="宋体" w:eastAsia="宋体" w:cs="宋体"/>
                <w:kern w:val="0"/>
                <w:szCs w:val="21"/>
              </w:rPr>
            </w:pPr>
            <w:r>
              <w:rPr>
                <w:rFonts w:hint="eastAsia" w:ascii="宋体" w:hAnsi="宋体" w:eastAsia="宋体" w:cs="宋体"/>
                <w:bCs/>
                <w:szCs w:val="21"/>
              </w:rPr>
              <w:t>粘虫</w:t>
            </w:r>
          </w:p>
        </w:tc>
        <w:tc>
          <w:tcPr>
            <w:tcW w:w="1418" w:type="dxa"/>
            <w:vAlign w:val="center"/>
          </w:tcPr>
          <w:p w14:paraId="5C61C151">
            <w:pPr>
              <w:widowControl/>
              <w:adjustRightInd w:val="0"/>
              <w:snapToGrid w:val="0"/>
              <w:jc w:val="center"/>
              <w:rPr>
                <w:rFonts w:ascii="宋体" w:hAnsi="宋体" w:eastAsia="宋体" w:cs="宋体"/>
                <w:kern w:val="0"/>
                <w:szCs w:val="21"/>
              </w:rPr>
            </w:pPr>
            <w:r>
              <w:rPr>
                <w:rFonts w:hint="eastAsia" w:ascii="宋体" w:hAnsi="宋体" w:eastAsia="宋体" w:cs="宋体"/>
                <w:bCs/>
                <w:szCs w:val="21"/>
              </w:rPr>
              <w:t>粘虫发生初期</w:t>
            </w:r>
          </w:p>
        </w:tc>
        <w:tc>
          <w:tcPr>
            <w:tcW w:w="2268" w:type="dxa"/>
            <w:vAlign w:val="center"/>
          </w:tcPr>
          <w:p w14:paraId="2D422654">
            <w:pPr>
              <w:widowControl/>
              <w:adjustRightInd w:val="0"/>
              <w:snapToGrid w:val="0"/>
              <w:jc w:val="center"/>
              <w:rPr>
                <w:rFonts w:ascii="宋体" w:hAnsi="宋体" w:eastAsia="宋体" w:cs="宋体"/>
                <w:kern w:val="0"/>
                <w:szCs w:val="21"/>
              </w:rPr>
            </w:pPr>
            <w:r>
              <w:rPr>
                <w:rFonts w:ascii="宋体" w:hAnsi="宋体" w:eastAsia="宋体" w:cs="Times New Roman"/>
                <w:szCs w:val="21"/>
              </w:rPr>
              <w:t>200 g/L氯虫苯甲酰胺悬浮剂</w:t>
            </w:r>
          </w:p>
        </w:tc>
        <w:tc>
          <w:tcPr>
            <w:tcW w:w="1931" w:type="dxa"/>
            <w:vAlign w:val="center"/>
          </w:tcPr>
          <w:p w14:paraId="5DC53F8D">
            <w:pPr>
              <w:widowControl/>
              <w:adjustRightInd w:val="0"/>
              <w:snapToGrid w:val="0"/>
              <w:jc w:val="center"/>
              <w:rPr>
                <w:rFonts w:ascii="宋体" w:hAnsi="宋体" w:eastAsia="宋体" w:cs="宋体"/>
                <w:kern w:val="0"/>
                <w:szCs w:val="21"/>
              </w:rPr>
            </w:pPr>
            <w:r>
              <w:rPr>
                <w:rFonts w:ascii="宋体" w:hAnsi="宋体" w:eastAsia="宋体" w:cs="Times New Roman"/>
                <w:szCs w:val="21"/>
              </w:rPr>
              <w:t>10～15 mL/亩</w:t>
            </w:r>
          </w:p>
        </w:tc>
        <w:tc>
          <w:tcPr>
            <w:tcW w:w="1187" w:type="dxa"/>
            <w:vAlign w:val="center"/>
          </w:tcPr>
          <w:p w14:paraId="7323F8A9">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喷雾</w:t>
            </w:r>
          </w:p>
        </w:tc>
        <w:tc>
          <w:tcPr>
            <w:tcW w:w="1187" w:type="dxa"/>
            <w:vAlign w:val="center"/>
          </w:tcPr>
          <w:p w14:paraId="46074F93">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21</w:t>
            </w:r>
          </w:p>
        </w:tc>
      </w:tr>
      <w:tr w14:paraId="67F4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384" w:type="dxa"/>
            <w:vMerge w:val="continue"/>
            <w:vAlign w:val="center"/>
          </w:tcPr>
          <w:p w14:paraId="756329C3">
            <w:pPr>
              <w:widowControl/>
              <w:adjustRightInd w:val="0"/>
              <w:snapToGrid w:val="0"/>
              <w:jc w:val="center"/>
              <w:rPr>
                <w:rFonts w:ascii="宋体" w:hAnsi="宋体" w:eastAsia="宋体" w:cs="宋体"/>
                <w:kern w:val="0"/>
                <w:szCs w:val="21"/>
              </w:rPr>
            </w:pPr>
          </w:p>
        </w:tc>
        <w:tc>
          <w:tcPr>
            <w:tcW w:w="1418" w:type="dxa"/>
            <w:vAlign w:val="center"/>
          </w:tcPr>
          <w:p w14:paraId="78461BA4">
            <w:pPr>
              <w:widowControl/>
              <w:adjustRightInd w:val="0"/>
              <w:snapToGrid w:val="0"/>
              <w:jc w:val="center"/>
              <w:rPr>
                <w:rFonts w:ascii="宋体" w:hAnsi="宋体" w:eastAsia="宋体" w:cs="宋体"/>
                <w:bCs/>
                <w:szCs w:val="21"/>
              </w:rPr>
            </w:pPr>
            <w:r>
              <w:rPr>
                <w:rFonts w:ascii="宋体" w:hAnsi="宋体" w:eastAsia="宋体" w:cs="微软雅黑"/>
                <w:color w:val="000000"/>
                <w:szCs w:val="21"/>
              </w:rPr>
              <w:t>1-3龄盛发期</w:t>
            </w:r>
          </w:p>
        </w:tc>
        <w:tc>
          <w:tcPr>
            <w:tcW w:w="2268" w:type="dxa"/>
            <w:vAlign w:val="center"/>
          </w:tcPr>
          <w:p w14:paraId="349F61E2">
            <w:pPr>
              <w:widowControl/>
              <w:adjustRightInd w:val="0"/>
              <w:snapToGrid w:val="0"/>
              <w:jc w:val="center"/>
              <w:rPr>
                <w:rFonts w:ascii="宋体" w:hAnsi="宋体" w:eastAsia="宋体" w:cs="Times New Roman"/>
                <w:szCs w:val="21"/>
              </w:rPr>
            </w:pPr>
            <w:r>
              <w:rPr>
                <w:rFonts w:ascii="宋体" w:hAnsi="宋体" w:eastAsia="宋体" w:cs="微软雅黑"/>
                <w:color w:val="000000"/>
                <w:szCs w:val="21"/>
              </w:rPr>
              <w:t>球孢白僵菌可分散油悬浮剂</w:t>
            </w:r>
          </w:p>
        </w:tc>
        <w:tc>
          <w:tcPr>
            <w:tcW w:w="1931" w:type="dxa"/>
            <w:vAlign w:val="center"/>
          </w:tcPr>
          <w:p w14:paraId="617AE5F4">
            <w:pPr>
              <w:widowControl/>
              <w:adjustRightInd w:val="0"/>
              <w:snapToGrid w:val="0"/>
              <w:jc w:val="center"/>
              <w:rPr>
                <w:rFonts w:ascii="宋体" w:hAnsi="宋体" w:eastAsia="宋体" w:cs="Times New Roman"/>
                <w:szCs w:val="21"/>
              </w:rPr>
            </w:pPr>
            <w:r>
              <w:rPr>
                <w:rFonts w:ascii="宋体" w:hAnsi="宋体" w:eastAsia="宋体" w:cs="微软雅黑"/>
                <w:color w:val="000000"/>
                <w:szCs w:val="21"/>
              </w:rPr>
              <w:t>600</w:t>
            </w:r>
            <w:r>
              <w:rPr>
                <w:rFonts w:ascii="宋体" w:hAnsi="宋体" w:eastAsia="宋体" w:cs="Times New Roman"/>
                <w:szCs w:val="21"/>
              </w:rPr>
              <w:t>～</w:t>
            </w:r>
            <w:r>
              <w:rPr>
                <w:rFonts w:ascii="宋体" w:hAnsi="宋体" w:eastAsia="宋体" w:cs="微软雅黑"/>
                <w:color w:val="000000"/>
                <w:szCs w:val="21"/>
              </w:rPr>
              <w:t>800</w:t>
            </w:r>
            <w:r>
              <w:rPr>
                <w:rFonts w:hint="eastAsia" w:ascii="宋体" w:hAnsi="宋体" w:eastAsia="宋体" w:cs="微软雅黑"/>
                <w:color w:val="000000"/>
                <w:szCs w:val="21"/>
              </w:rPr>
              <w:t>mL</w:t>
            </w:r>
            <w:r>
              <w:rPr>
                <w:rFonts w:ascii="宋体" w:hAnsi="宋体" w:eastAsia="宋体" w:cs="微软雅黑"/>
                <w:color w:val="000000"/>
                <w:szCs w:val="21"/>
              </w:rPr>
              <w:t>/亩</w:t>
            </w:r>
          </w:p>
        </w:tc>
        <w:tc>
          <w:tcPr>
            <w:tcW w:w="1187" w:type="dxa"/>
            <w:vAlign w:val="center"/>
          </w:tcPr>
          <w:p w14:paraId="42D4AD17">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喷雾</w:t>
            </w:r>
          </w:p>
        </w:tc>
        <w:tc>
          <w:tcPr>
            <w:tcW w:w="1187" w:type="dxa"/>
            <w:vAlign w:val="center"/>
          </w:tcPr>
          <w:p w14:paraId="740110F6">
            <w:pPr>
              <w:widowControl/>
              <w:adjustRightInd w:val="0"/>
              <w:snapToGrid w:val="0"/>
              <w:jc w:val="center"/>
              <w:rPr>
                <w:rFonts w:ascii="宋体" w:hAnsi="宋体" w:eastAsia="宋体" w:cs="宋体"/>
                <w:kern w:val="0"/>
                <w:szCs w:val="21"/>
              </w:rPr>
            </w:pPr>
          </w:p>
        </w:tc>
      </w:tr>
      <w:tr w14:paraId="248C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384" w:type="dxa"/>
            <w:vAlign w:val="center"/>
          </w:tcPr>
          <w:p w14:paraId="2F3AFCA7">
            <w:pPr>
              <w:widowControl/>
              <w:adjustRightInd w:val="0"/>
              <w:snapToGrid w:val="0"/>
              <w:jc w:val="center"/>
              <w:rPr>
                <w:rFonts w:ascii="宋体" w:hAnsi="宋体" w:eastAsia="宋体" w:cs="宋体"/>
                <w:kern w:val="0"/>
                <w:szCs w:val="21"/>
              </w:rPr>
            </w:pPr>
            <w:r>
              <w:rPr>
                <w:rFonts w:hint="eastAsia" w:ascii="宋体" w:hAnsi="宋体" w:eastAsia="宋体" w:cs="宋体"/>
                <w:szCs w:val="21"/>
              </w:rPr>
              <w:t>蚜虫</w:t>
            </w:r>
          </w:p>
        </w:tc>
        <w:tc>
          <w:tcPr>
            <w:tcW w:w="1418" w:type="dxa"/>
            <w:vAlign w:val="center"/>
          </w:tcPr>
          <w:p w14:paraId="04FB6ED5">
            <w:pPr>
              <w:widowControl/>
              <w:wordWrap w:val="0"/>
              <w:jc w:val="center"/>
              <w:rPr>
                <w:rFonts w:ascii="宋体" w:hAnsi="宋体" w:eastAsia="宋体" w:cs="宋体"/>
                <w:kern w:val="0"/>
                <w:szCs w:val="21"/>
              </w:rPr>
            </w:pPr>
            <w:r>
              <w:rPr>
                <w:rFonts w:hint="eastAsia" w:ascii="宋体" w:hAnsi="宋体" w:eastAsia="宋体" w:cs="宋体"/>
                <w:kern w:val="0"/>
                <w:szCs w:val="21"/>
              </w:rPr>
              <w:t>播种前</w:t>
            </w:r>
          </w:p>
        </w:tc>
        <w:tc>
          <w:tcPr>
            <w:tcW w:w="2268" w:type="dxa"/>
            <w:vAlign w:val="center"/>
          </w:tcPr>
          <w:p w14:paraId="3CD7A4E4">
            <w:pPr>
              <w:widowControl/>
              <w:adjustRightInd w:val="0"/>
              <w:snapToGrid w:val="0"/>
              <w:jc w:val="center"/>
              <w:rPr>
                <w:rFonts w:ascii="宋体" w:hAnsi="宋体" w:eastAsia="宋体" w:cs="宋体"/>
                <w:bCs/>
                <w:szCs w:val="21"/>
              </w:rPr>
            </w:pPr>
            <w:r>
              <w:rPr>
                <w:rFonts w:hint="eastAsia" w:ascii="宋体" w:hAnsi="宋体" w:eastAsia="宋体" w:cs="Times New Roman"/>
                <w:szCs w:val="21"/>
                <w:shd w:val="clear" w:color="auto" w:fill="FFFFFF"/>
              </w:rPr>
              <w:t>30%</w:t>
            </w:r>
            <w:r>
              <w:rPr>
                <w:rFonts w:ascii="宋体" w:hAnsi="宋体" w:eastAsia="宋体" w:cs="Times New Roman"/>
                <w:szCs w:val="21"/>
                <w:shd w:val="clear" w:color="auto" w:fill="FFFFFF"/>
              </w:rPr>
              <w:t>噻虫嗪</w:t>
            </w:r>
            <w:r>
              <w:rPr>
                <w:rFonts w:hint="eastAsia" w:ascii="宋体" w:hAnsi="宋体" w:eastAsia="宋体" w:cs="Times New Roman"/>
                <w:szCs w:val="21"/>
                <w:shd w:val="clear" w:color="auto" w:fill="FFFFFF"/>
              </w:rPr>
              <w:t>悬浮种衣剂</w:t>
            </w:r>
          </w:p>
        </w:tc>
        <w:tc>
          <w:tcPr>
            <w:tcW w:w="1931" w:type="dxa"/>
            <w:vAlign w:val="center"/>
          </w:tcPr>
          <w:p w14:paraId="37DD8B8E">
            <w:pPr>
              <w:widowControl/>
              <w:adjustRightInd w:val="0"/>
              <w:snapToGrid w:val="0"/>
              <w:jc w:val="center"/>
              <w:rPr>
                <w:rFonts w:ascii="宋体" w:hAnsi="宋体" w:eastAsia="宋体" w:cs="宋体"/>
                <w:szCs w:val="21"/>
                <w:shd w:val="clear" w:color="auto" w:fill="FFFFFF"/>
              </w:rPr>
            </w:pPr>
            <w:r>
              <w:rPr>
                <w:rFonts w:ascii="宋体" w:hAnsi="宋体" w:eastAsia="宋体" w:cs="微软雅黑"/>
                <w:color w:val="000000"/>
                <w:szCs w:val="21"/>
              </w:rPr>
              <w:t>333-700克</w:t>
            </w:r>
            <w:r>
              <w:rPr>
                <w:rFonts w:ascii="宋体" w:hAnsi="宋体" w:eastAsia="宋体" w:cs="Times New Roman"/>
                <w:szCs w:val="21"/>
                <w:shd w:val="clear" w:color="auto" w:fill="FFFFFF"/>
              </w:rPr>
              <w:t>/100千克种子</w:t>
            </w:r>
          </w:p>
        </w:tc>
        <w:tc>
          <w:tcPr>
            <w:tcW w:w="1187" w:type="dxa"/>
            <w:vAlign w:val="center"/>
          </w:tcPr>
          <w:p w14:paraId="493FA06D">
            <w:pPr>
              <w:widowControl/>
              <w:adjustRightInd w:val="0"/>
              <w:snapToGrid w:val="0"/>
              <w:jc w:val="center"/>
              <w:rPr>
                <w:rFonts w:ascii="宋体" w:hAnsi="宋体" w:eastAsia="宋体" w:cs="宋体"/>
                <w:kern w:val="0"/>
                <w:szCs w:val="21"/>
              </w:rPr>
            </w:pPr>
            <w:r>
              <w:rPr>
                <w:rFonts w:ascii="宋体" w:hAnsi="宋体" w:eastAsia="宋体" w:cs="微软雅黑"/>
                <w:color w:val="000000"/>
                <w:szCs w:val="21"/>
              </w:rPr>
              <w:t>种子包衣</w:t>
            </w:r>
          </w:p>
        </w:tc>
        <w:tc>
          <w:tcPr>
            <w:tcW w:w="1187" w:type="dxa"/>
            <w:vAlign w:val="center"/>
          </w:tcPr>
          <w:p w14:paraId="28FA4745">
            <w:pPr>
              <w:widowControl/>
              <w:adjustRightInd w:val="0"/>
              <w:snapToGrid w:val="0"/>
              <w:jc w:val="center"/>
              <w:rPr>
                <w:rFonts w:ascii="宋体" w:hAnsi="宋体" w:eastAsia="宋体" w:cs="宋体"/>
                <w:kern w:val="0"/>
                <w:szCs w:val="21"/>
              </w:rPr>
            </w:pPr>
          </w:p>
        </w:tc>
      </w:tr>
      <w:tr w14:paraId="7350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84" w:type="dxa"/>
            <w:vAlign w:val="center"/>
          </w:tcPr>
          <w:p w14:paraId="4F9785BA">
            <w:pPr>
              <w:widowControl/>
              <w:adjustRightInd w:val="0"/>
              <w:snapToGrid w:val="0"/>
              <w:jc w:val="center"/>
              <w:rPr>
                <w:rFonts w:ascii="宋体" w:hAnsi="宋体" w:eastAsia="宋体" w:cs="宋体"/>
                <w:kern w:val="0"/>
                <w:szCs w:val="21"/>
              </w:rPr>
            </w:pPr>
            <w:r>
              <w:rPr>
                <w:rFonts w:hint="eastAsia" w:ascii="宋体" w:hAnsi="宋体" w:eastAsia="宋体" w:cs="宋体"/>
                <w:bCs/>
                <w:szCs w:val="21"/>
              </w:rPr>
              <w:t>金针虫、小地老虎、蛴螬等地下害虫</w:t>
            </w:r>
          </w:p>
        </w:tc>
        <w:tc>
          <w:tcPr>
            <w:tcW w:w="1418" w:type="dxa"/>
            <w:vAlign w:val="center"/>
          </w:tcPr>
          <w:p w14:paraId="02F222B1">
            <w:pPr>
              <w:widowControl/>
              <w:adjustRightInd w:val="0"/>
              <w:snapToGrid w:val="0"/>
              <w:jc w:val="center"/>
              <w:rPr>
                <w:rFonts w:ascii="宋体" w:hAnsi="宋体" w:eastAsia="宋体" w:cs="宋体"/>
                <w:kern w:val="0"/>
                <w:szCs w:val="21"/>
              </w:rPr>
            </w:pPr>
            <w:r>
              <w:rPr>
                <w:rFonts w:hint="eastAsia" w:ascii="宋体" w:hAnsi="宋体" w:eastAsia="宋体" w:cs="宋体"/>
                <w:bCs/>
                <w:szCs w:val="21"/>
              </w:rPr>
              <w:t>播种前</w:t>
            </w:r>
          </w:p>
        </w:tc>
        <w:tc>
          <w:tcPr>
            <w:tcW w:w="2268" w:type="dxa"/>
            <w:vAlign w:val="center"/>
          </w:tcPr>
          <w:p w14:paraId="1E2985EB">
            <w:pPr>
              <w:widowControl/>
              <w:adjustRightInd w:val="0"/>
              <w:snapToGrid w:val="0"/>
              <w:jc w:val="center"/>
              <w:rPr>
                <w:rFonts w:ascii="宋体" w:hAnsi="宋体" w:eastAsia="宋体" w:cs="宋体"/>
                <w:bCs/>
                <w:szCs w:val="21"/>
              </w:rPr>
            </w:pPr>
            <w:r>
              <w:rPr>
                <w:rFonts w:hint="eastAsia" w:ascii="宋体" w:hAnsi="宋体" w:eastAsia="宋体" w:cs="Times New Roman"/>
                <w:bCs/>
                <w:szCs w:val="21"/>
              </w:rPr>
              <w:t>3%辛硫磷水浮种衣剂</w:t>
            </w:r>
          </w:p>
        </w:tc>
        <w:tc>
          <w:tcPr>
            <w:tcW w:w="1931" w:type="dxa"/>
            <w:vAlign w:val="center"/>
          </w:tcPr>
          <w:p w14:paraId="3A0342E5">
            <w:pPr>
              <w:widowControl/>
              <w:adjustRightInd w:val="0"/>
              <w:snapToGrid w:val="0"/>
              <w:jc w:val="center"/>
              <w:rPr>
                <w:rFonts w:ascii="宋体" w:hAnsi="宋体" w:eastAsia="宋体" w:cs="宋体"/>
                <w:szCs w:val="21"/>
                <w:shd w:val="clear" w:color="auto" w:fill="FFFFFF"/>
              </w:rPr>
            </w:pPr>
            <w:r>
              <w:rPr>
                <w:rFonts w:hint="eastAsia" w:ascii="宋体" w:hAnsi="宋体" w:eastAsia="宋体" w:cs="Times New Roman"/>
                <w:bCs/>
                <w:szCs w:val="21"/>
              </w:rPr>
              <w:t>药种比1:30～40</w:t>
            </w:r>
          </w:p>
        </w:tc>
        <w:tc>
          <w:tcPr>
            <w:tcW w:w="1187" w:type="dxa"/>
            <w:vAlign w:val="center"/>
          </w:tcPr>
          <w:p w14:paraId="2A2A105A">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种子包衣</w:t>
            </w:r>
          </w:p>
        </w:tc>
        <w:tc>
          <w:tcPr>
            <w:tcW w:w="1187" w:type="dxa"/>
            <w:vAlign w:val="center"/>
          </w:tcPr>
          <w:p w14:paraId="2AC21946">
            <w:pPr>
              <w:widowControl/>
              <w:adjustRightInd w:val="0"/>
              <w:snapToGrid w:val="0"/>
              <w:jc w:val="center"/>
              <w:rPr>
                <w:rFonts w:ascii="宋体" w:hAnsi="宋体" w:eastAsia="宋体" w:cs="宋体"/>
                <w:kern w:val="0"/>
                <w:szCs w:val="21"/>
              </w:rPr>
            </w:pPr>
          </w:p>
        </w:tc>
      </w:tr>
      <w:tr w14:paraId="2A3F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84" w:type="dxa"/>
            <w:vAlign w:val="center"/>
          </w:tcPr>
          <w:p w14:paraId="6D3FBCCA">
            <w:pPr>
              <w:widowControl/>
              <w:adjustRightInd w:val="0"/>
              <w:snapToGrid w:val="0"/>
              <w:jc w:val="center"/>
              <w:rPr>
                <w:rFonts w:ascii="宋体" w:hAnsi="宋体" w:eastAsia="宋体" w:cs="宋体"/>
                <w:bCs/>
                <w:szCs w:val="21"/>
              </w:rPr>
            </w:pPr>
            <w:r>
              <w:rPr>
                <w:rFonts w:hint="eastAsia" w:ascii="宋体" w:hAnsi="宋体" w:eastAsia="宋体" w:cs="宋体"/>
                <w:bCs/>
                <w:szCs w:val="21"/>
              </w:rPr>
              <w:t>大斑病、小斑病</w:t>
            </w:r>
          </w:p>
        </w:tc>
        <w:tc>
          <w:tcPr>
            <w:tcW w:w="1418" w:type="dxa"/>
            <w:vAlign w:val="center"/>
          </w:tcPr>
          <w:p w14:paraId="413A9063">
            <w:pPr>
              <w:widowControl/>
              <w:adjustRightInd w:val="0"/>
              <w:snapToGrid w:val="0"/>
              <w:jc w:val="center"/>
              <w:rPr>
                <w:rFonts w:ascii="宋体" w:hAnsi="宋体" w:eastAsia="宋体" w:cs="宋体"/>
                <w:bCs/>
                <w:szCs w:val="21"/>
              </w:rPr>
            </w:pPr>
            <w:r>
              <w:rPr>
                <w:rFonts w:hint="eastAsia" w:ascii="宋体" w:hAnsi="宋体" w:eastAsia="宋体" w:cs="宋体"/>
                <w:bCs/>
                <w:szCs w:val="21"/>
              </w:rPr>
              <w:t>发病初期</w:t>
            </w:r>
          </w:p>
        </w:tc>
        <w:tc>
          <w:tcPr>
            <w:tcW w:w="2268" w:type="dxa"/>
            <w:vAlign w:val="center"/>
          </w:tcPr>
          <w:p w14:paraId="7EC1FB4E">
            <w:pPr>
              <w:jc w:val="left"/>
              <w:rPr>
                <w:rFonts w:ascii="宋体" w:hAnsi="宋体" w:eastAsia="宋体" w:cs="Times New Roman"/>
                <w:szCs w:val="21"/>
              </w:rPr>
            </w:pPr>
            <w:r>
              <w:rPr>
                <w:rFonts w:ascii="宋体" w:hAnsi="宋体" w:eastAsia="宋体" w:cs="Times New Roman"/>
                <w:szCs w:val="21"/>
              </w:rPr>
              <w:t>22%嘧菌·戊唑醇悬浮剂</w:t>
            </w:r>
          </w:p>
        </w:tc>
        <w:tc>
          <w:tcPr>
            <w:tcW w:w="1931" w:type="dxa"/>
            <w:vAlign w:val="center"/>
          </w:tcPr>
          <w:p w14:paraId="72D2DB44">
            <w:pPr>
              <w:widowControl/>
              <w:adjustRightInd w:val="0"/>
              <w:snapToGrid w:val="0"/>
              <w:jc w:val="center"/>
              <w:rPr>
                <w:rFonts w:ascii="宋体" w:hAnsi="宋体" w:eastAsia="宋体" w:cs="Times New Roman"/>
                <w:bCs/>
                <w:szCs w:val="21"/>
              </w:rPr>
            </w:pPr>
            <w:r>
              <w:rPr>
                <w:rFonts w:ascii="宋体" w:hAnsi="宋体" w:eastAsia="宋体" w:cs="Times New Roman"/>
                <w:szCs w:val="21"/>
              </w:rPr>
              <w:t>40～60 mL/亩</w:t>
            </w:r>
          </w:p>
        </w:tc>
        <w:tc>
          <w:tcPr>
            <w:tcW w:w="1187" w:type="dxa"/>
            <w:vAlign w:val="center"/>
          </w:tcPr>
          <w:p w14:paraId="1E32AA54">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喷雾</w:t>
            </w:r>
          </w:p>
        </w:tc>
        <w:tc>
          <w:tcPr>
            <w:tcW w:w="1187" w:type="dxa"/>
            <w:vAlign w:val="center"/>
          </w:tcPr>
          <w:p w14:paraId="18BD1E47">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30</w:t>
            </w:r>
          </w:p>
        </w:tc>
      </w:tr>
      <w:tr w14:paraId="2BA5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84" w:type="dxa"/>
            <w:vAlign w:val="center"/>
          </w:tcPr>
          <w:p w14:paraId="57BC6AA0">
            <w:pPr>
              <w:widowControl/>
              <w:adjustRightInd w:val="0"/>
              <w:snapToGrid w:val="0"/>
              <w:jc w:val="center"/>
              <w:rPr>
                <w:rFonts w:ascii="宋体" w:hAnsi="宋体" w:eastAsia="宋体" w:cs="宋体"/>
                <w:bCs/>
                <w:szCs w:val="21"/>
              </w:rPr>
            </w:pPr>
            <w:r>
              <w:rPr>
                <w:rFonts w:hint="eastAsia" w:ascii="宋体" w:hAnsi="宋体" w:eastAsia="宋体" w:cs="Times New Roman"/>
                <w:bCs/>
                <w:szCs w:val="21"/>
              </w:rPr>
              <w:t>丝黑穗病</w:t>
            </w:r>
          </w:p>
        </w:tc>
        <w:tc>
          <w:tcPr>
            <w:tcW w:w="1418" w:type="dxa"/>
            <w:vAlign w:val="center"/>
          </w:tcPr>
          <w:p w14:paraId="72535909">
            <w:pPr>
              <w:widowControl/>
              <w:adjustRightInd w:val="0"/>
              <w:snapToGrid w:val="0"/>
              <w:jc w:val="center"/>
              <w:rPr>
                <w:rFonts w:ascii="宋体" w:hAnsi="宋体" w:eastAsia="宋体" w:cs="宋体"/>
                <w:bCs/>
                <w:szCs w:val="21"/>
              </w:rPr>
            </w:pPr>
            <w:r>
              <w:rPr>
                <w:rFonts w:hint="eastAsia" w:ascii="宋体" w:hAnsi="宋体" w:eastAsia="宋体" w:cs="宋体"/>
                <w:bCs/>
                <w:szCs w:val="21"/>
              </w:rPr>
              <w:t>播种前</w:t>
            </w:r>
          </w:p>
        </w:tc>
        <w:tc>
          <w:tcPr>
            <w:tcW w:w="2268" w:type="dxa"/>
            <w:vAlign w:val="center"/>
          </w:tcPr>
          <w:p w14:paraId="028B911B">
            <w:pPr>
              <w:jc w:val="left"/>
              <w:rPr>
                <w:rFonts w:ascii="宋体" w:hAnsi="宋体" w:eastAsia="宋体" w:cs="Times New Roman"/>
                <w:bCs/>
                <w:szCs w:val="21"/>
              </w:rPr>
            </w:pPr>
            <w:r>
              <w:rPr>
                <w:rFonts w:hint="eastAsia" w:ascii="宋体" w:hAnsi="宋体" w:eastAsia="宋体" w:cs="Times New Roman"/>
                <w:bCs/>
                <w:szCs w:val="21"/>
              </w:rPr>
              <w:t>6.5%戊·氯·吡虫啉悬浮种衣剂</w:t>
            </w:r>
          </w:p>
        </w:tc>
        <w:tc>
          <w:tcPr>
            <w:tcW w:w="1931" w:type="dxa"/>
            <w:vAlign w:val="center"/>
          </w:tcPr>
          <w:p w14:paraId="3F4A5C66">
            <w:pPr>
              <w:widowControl/>
              <w:adjustRightInd w:val="0"/>
              <w:snapToGrid w:val="0"/>
              <w:jc w:val="center"/>
              <w:rPr>
                <w:rFonts w:ascii="宋体" w:hAnsi="宋体" w:eastAsia="宋体" w:cs="Times New Roman"/>
                <w:szCs w:val="21"/>
              </w:rPr>
            </w:pPr>
            <w:r>
              <w:rPr>
                <w:rFonts w:hint="eastAsia" w:ascii="宋体" w:hAnsi="宋体" w:eastAsia="宋体" w:cs="Times New Roman"/>
                <w:bCs/>
                <w:szCs w:val="21"/>
              </w:rPr>
              <w:t>药种比1:70～80</w:t>
            </w:r>
          </w:p>
        </w:tc>
        <w:tc>
          <w:tcPr>
            <w:tcW w:w="1187" w:type="dxa"/>
            <w:vAlign w:val="center"/>
          </w:tcPr>
          <w:p w14:paraId="22C7999D">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种子包衣</w:t>
            </w:r>
          </w:p>
        </w:tc>
        <w:tc>
          <w:tcPr>
            <w:tcW w:w="1187" w:type="dxa"/>
            <w:vAlign w:val="center"/>
          </w:tcPr>
          <w:p w14:paraId="5E5CDD5F">
            <w:pPr>
              <w:widowControl/>
              <w:adjustRightInd w:val="0"/>
              <w:snapToGrid w:val="0"/>
              <w:jc w:val="center"/>
              <w:rPr>
                <w:rFonts w:ascii="宋体" w:hAnsi="宋体" w:eastAsia="宋体" w:cs="宋体"/>
                <w:kern w:val="0"/>
                <w:szCs w:val="21"/>
              </w:rPr>
            </w:pPr>
          </w:p>
        </w:tc>
      </w:tr>
      <w:tr w14:paraId="322C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84" w:type="dxa"/>
            <w:vMerge w:val="restart"/>
            <w:vAlign w:val="center"/>
          </w:tcPr>
          <w:p w14:paraId="0486B782">
            <w:pPr>
              <w:widowControl/>
              <w:adjustRightInd w:val="0"/>
              <w:snapToGrid w:val="0"/>
              <w:jc w:val="center"/>
              <w:rPr>
                <w:rFonts w:ascii="宋体" w:hAnsi="宋体" w:eastAsia="宋体" w:cs="宋体"/>
                <w:bCs/>
                <w:szCs w:val="21"/>
              </w:rPr>
            </w:pPr>
            <w:r>
              <w:rPr>
                <w:rFonts w:hint="eastAsia" w:ascii="宋体" w:hAnsi="宋体" w:eastAsia="宋体" w:cs="宋体"/>
                <w:bCs/>
                <w:szCs w:val="21"/>
              </w:rPr>
              <w:t>杂草</w:t>
            </w:r>
          </w:p>
        </w:tc>
        <w:tc>
          <w:tcPr>
            <w:tcW w:w="1418" w:type="dxa"/>
            <w:vAlign w:val="center"/>
          </w:tcPr>
          <w:p w14:paraId="3F3A96AC">
            <w:pPr>
              <w:widowControl/>
              <w:adjustRightInd w:val="0"/>
              <w:snapToGrid w:val="0"/>
              <w:jc w:val="center"/>
              <w:rPr>
                <w:rFonts w:ascii="宋体" w:hAnsi="宋体" w:eastAsia="宋体" w:cs="宋体"/>
                <w:bCs/>
                <w:szCs w:val="21"/>
              </w:rPr>
            </w:pPr>
            <w:r>
              <w:rPr>
                <w:rFonts w:hint="eastAsia" w:ascii="宋体" w:hAnsi="宋体" w:eastAsia="宋体" w:cs="宋体"/>
                <w:bCs/>
                <w:szCs w:val="21"/>
              </w:rPr>
              <w:t>播后苗前</w:t>
            </w:r>
          </w:p>
        </w:tc>
        <w:tc>
          <w:tcPr>
            <w:tcW w:w="2268" w:type="dxa"/>
            <w:vAlign w:val="center"/>
          </w:tcPr>
          <w:p w14:paraId="45B310E9">
            <w:pPr>
              <w:widowControl/>
              <w:adjustRightInd w:val="0"/>
              <w:snapToGrid w:val="0"/>
              <w:jc w:val="center"/>
              <w:rPr>
                <w:rFonts w:ascii="宋体" w:hAnsi="宋体" w:eastAsia="宋体" w:cs="宋体"/>
                <w:bCs/>
                <w:szCs w:val="21"/>
              </w:rPr>
            </w:pPr>
            <w:r>
              <w:rPr>
                <w:rFonts w:ascii="宋体" w:hAnsi="宋体" w:eastAsia="宋体" w:cs="微软雅黑"/>
                <w:color w:val="000000"/>
                <w:szCs w:val="21"/>
              </w:rPr>
              <w:t>精异丙甲草胺960克/升 </w:t>
            </w:r>
          </w:p>
        </w:tc>
        <w:tc>
          <w:tcPr>
            <w:tcW w:w="1931" w:type="dxa"/>
            <w:vAlign w:val="center"/>
          </w:tcPr>
          <w:p w14:paraId="019C9EFA">
            <w:pPr>
              <w:widowControl/>
              <w:adjustRightInd w:val="0"/>
              <w:snapToGrid w:val="0"/>
              <w:jc w:val="center"/>
              <w:rPr>
                <w:rFonts w:ascii="宋体" w:hAnsi="宋体" w:eastAsia="宋体" w:cs="宋体"/>
                <w:bCs/>
                <w:szCs w:val="21"/>
              </w:rPr>
            </w:pPr>
            <w:r>
              <w:rPr>
                <w:rFonts w:hint="eastAsia" w:ascii="宋体" w:hAnsi="宋体" w:eastAsia="宋体" w:cs="Times New Roman"/>
                <w:szCs w:val="21"/>
              </w:rPr>
              <w:t>50</w:t>
            </w:r>
            <w:r>
              <w:rPr>
                <w:rFonts w:ascii="宋体" w:hAnsi="宋体" w:eastAsia="宋体" w:cs="Times New Roman"/>
                <w:szCs w:val="21"/>
              </w:rPr>
              <w:t>～</w:t>
            </w:r>
            <w:r>
              <w:rPr>
                <w:rFonts w:hint="eastAsia" w:ascii="宋体" w:hAnsi="宋体" w:eastAsia="宋体" w:cs="Times New Roman"/>
                <w:szCs w:val="21"/>
              </w:rPr>
              <w:t>85</w:t>
            </w:r>
            <w:r>
              <w:rPr>
                <w:rFonts w:ascii="宋体" w:hAnsi="宋体" w:eastAsia="宋体" w:cs="Times New Roman"/>
                <w:szCs w:val="21"/>
              </w:rPr>
              <w:t>mL/亩</w:t>
            </w:r>
          </w:p>
        </w:tc>
        <w:tc>
          <w:tcPr>
            <w:tcW w:w="1187" w:type="dxa"/>
            <w:vAlign w:val="center"/>
          </w:tcPr>
          <w:p w14:paraId="708B989C">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土壤喷雾</w:t>
            </w:r>
          </w:p>
        </w:tc>
        <w:tc>
          <w:tcPr>
            <w:tcW w:w="1187" w:type="dxa"/>
            <w:vAlign w:val="center"/>
          </w:tcPr>
          <w:p w14:paraId="366A96EE">
            <w:pPr>
              <w:widowControl/>
              <w:adjustRightInd w:val="0"/>
              <w:snapToGrid w:val="0"/>
              <w:jc w:val="center"/>
              <w:rPr>
                <w:rFonts w:ascii="宋体" w:hAnsi="宋体" w:eastAsia="宋体" w:cs="宋体"/>
                <w:kern w:val="0"/>
                <w:szCs w:val="21"/>
              </w:rPr>
            </w:pPr>
            <w:r>
              <w:rPr>
                <w:rFonts w:hint="eastAsia" w:ascii="宋体" w:hAnsi="宋体" w:eastAsia="宋体" w:cs="宋体"/>
                <w:bCs/>
                <w:szCs w:val="21"/>
              </w:rPr>
              <w:t>每季最多1次</w:t>
            </w:r>
          </w:p>
        </w:tc>
      </w:tr>
      <w:tr w14:paraId="5042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84" w:type="dxa"/>
            <w:vMerge w:val="continue"/>
            <w:tcBorders>
              <w:bottom w:val="single" w:color="auto" w:sz="4" w:space="0"/>
            </w:tcBorders>
            <w:vAlign w:val="center"/>
          </w:tcPr>
          <w:p w14:paraId="001ABF8D">
            <w:pPr>
              <w:widowControl/>
              <w:adjustRightInd w:val="0"/>
              <w:snapToGrid w:val="0"/>
              <w:jc w:val="center"/>
              <w:rPr>
                <w:rFonts w:ascii="宋体" w:hAnsi="宋体" w:eastAsia="宋体" w:cs="宋体"/>
                <w:bCs/>
                <w:szCs w:val="21"/>
              </w:rPr>
            </w:pPr>
          </w:p>
        </w:tc>
        <w:tc>
          <w:tcPr>
            <w:tcW w:w="1418" w:type="dxa"/>
            <w:vAlign w:val="center"/>
          </w:tcPr>
          <w:p w14:paraId="1D332FC2">
            <w:pPr>
              <w:widowControl/>
              <w:adjustRightInd w:val="0"/>
              <w:snapToGrid w:val="0"/>
              <w:rPr>
                <w:rFonts w:ascii="宋体" w:hAnsi="宋体" w:eastAsia="宋体" w:cs="宋体"/>
                <w:bCs/>
                <w:szCs w:val="21"/>
              </w:rPr>
            </w:pPr>
            <w:r>
              <w:rPr>
                <w:rFonts w:hint="eastAsia" w:ascii="宋体" w:hAnsi="宋体" w:eastAsia="宋体" w:cs="宋体"/>
                <w:bCs/>
                <w:szCs w:val="21"/>
              </w:rPr>
              <w:t>播后苗前</w:t>
            </w:r>
          </w:p>
        </w:tc>
        <w:tc>
          <w:tcPr>
            <w:tcW w:w="2268" w:type="dxa"/>
            <w:vAlign w:val="center"/>
          </w:tcPr>
          <w:p w14:paraId="4FBBED69">
            <w:pPr>
              <w:widowControl/>
              <w:adjustRightInd w:val="0"/>
              <w:snapToGrid w:val="0"/>
              <w:jc w:val="center"/>
              <w:rPr>
                <w:rFonts w:ascii="宋体" w:hAnsi="宋体" w:eastAsia="宋体" w:cs="宋体"/>
                <w:bCs/>
                <w:szCs w:val="21"/>
              </w:rPr>
            </w:pPr>
            <w:r>
              <w:rPr>
                <w:rFonts w:hint="eastAsia" w:ascii="宋体" w:hAnsi="宋体" w:eastAsia="宋体" w:cs="宋体"/>
                <w:szCs w:val="21"/>
              </w:rPr>
              <w:t>75%噻吩磺隆</w:t>
            </w:r>
            <w:r>
              <w:rPr>
                <w:rFonts w:ascii="宋体" w:hAnsi="宋体" w:eastAsia="宋体" w:cs="Times New Roman"/>
                <w:bCs/>
                <w:szCs w:val="21"/>
                <w:shd w:val="clear" w:color="auto" w:fill="FFFFFF"/>
              </w:rPr>
              <w:t>水分散粒剂</w:t>
            </w:r>
          </w:p>
        </w:tc>
        <w:tc>
          <w:tcPr>
            <w:tcW w:w="1931" w:type="dxa"/>
            <w:vAlign w:val="center"/>
          </w:tcPr>
          <w:p w14:paraId="778FA564">
            <w:pPr>
              <w:widowControl/>
              <w:adjustRightInd w:val="0"/>
              <w:snapToGrid w:val="0"/>
              <w:jc w:val="center"/>
              <w:rPr>
                <w:rFonts w:ascii="宋体" w:hAnsi="宋体" w:eastAsia="宋体" w:cs="Times New Roman"/>
                <w:szCs w:val="21"/>
              </w:rPr>
            </w:pPr>
            <w:r>
              <w:rPr>
                <w:rFonts w:hint="eastAsia" w:ascii="宋体" w:hAnsi="宋体" w:eastAsia="宋体" w:cs="Times New Roman"/>
                <w:szCs w:val="21"/>
              </w:rPr>
              <w:t>1.3</w:t>
            </w:r>
            <w:r>
              <w:rPr>
                <w:rFonts w:ascii="宋体" w:hAnsi="宋体" w:eastAsia="宋体" w:cs="Times New Roman"/>
                <w:szCs w:val="21"/>
              </w:rPr>
              <w:t>～</w:t>
            </w:r>
            <w:r>
              <w:rPr>
                <w:rFonts w:hint="eastAsia" w:ascii="宋体" w:hAnsi="宋体" w:eastAsia="宋体" w:cs="Times New Roman"/>
                <w:szCs w:val="21"/>
              </w:rPr>
              <w:t>2.1g</w:t>
            </w:r>
            <w:r>
              <w:rPr>
                <w:rFonts w:ascii="宋体" w:hAnsi="宋体" w:eastAsia="宋体" w:cs="Times New Roman"/>
                <w:szCs w:val="21"/>
              </w:rPr>
              <w:t>/亩</w:t>
            </w:r>
          </w:p>
        </w:tc>
        <w:tc>
          <w:tcPr>
            <w:tcW w:w="1187" w:type="dxa"/>
            <w:vAlign w:val="center"/>
          </w:tcPr>
          <w:p w14:paraId="5CC8DBC5">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土壤喷雾</w:t>
            </w:r>
          </w:p>
        </w:tc>
        <w:tc>
          <w:tcPr>
            <w:tcW w:w="1187" w:type="dxa"/>
            <w:vAlign w:val="center"/>
          </w:tcPr>
          <w:p w14:paraId="20A40AE1">
            <w:pPr>
              <w:widowControl/>
              <w:adjustRightInd w:val="0"/>
              <w:snapToGrid w:val="0"/>
              <w:jc w:val="center"/>
              <w:rPr>
                <w:rFonts w:ascii="宋体" w:hAnsi="宋体" w:eastAsia="宋体" w:cs="宋体"/>
                <w:bCs/>
                <w:szCs w:val="21"/>
              </w:rPr>
            </w:pPr>
            <w:r>
              <w:rPr>
                <w:rFonts w:hint="eastAsia" w:ascii="宋体" w:hAnsi="宋体" w:eastAsia="宋体" w:cs="宋体"/>
                <w:bCs/>
                <w:szCs w:val="21"/>
              </w:rPr>
              <w:t>每季最多1次</w:t>
            </w:r>
          </w:p>
        </w:tc>
      </w:tr>
      <w:tr w14:paraId="50A1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375" w:type="dxa"/>
            <w:gridSpan w:val="6"/>
            <w:tcBorders>
              <w:top w:val="single" w:color="auto" w:sz="4" w:space="0"/>
              <w:bottom w:val="single" w:color="auto" w:sz="4" w:space="0"/>
            </w:tcBorders>
            <w:vAlign w:val="center"/>
          </w:tcPr>
          <w:p w14:paraId="15AAB2FC">
            <w:pPr>
              <w:widowControl/>
              <w:adjustRightInd w:val="0"/>
              <w:snapToGrid w:val="0"/>
              <w:jc w:val="left"/>
              <w:rPr>
                <w:rFonts w:ascii="宋体" w:hAnsi="宋体" w:eastAsia="宋体" w:cs="宋体"/>
                <w:kern w:val="0"/>
                <w:szCs w:val="21"/>
              </w:rPr>
            </w:pPr>
            <w:r>
              <w:rPr>
                <w:rFonts w:hint="eastAsia" w:ascii="宋体" w:hAnsi="宋体" w:eastAsia="宋体" w:cs="Times New Roman"/>
                <w:kern w:val="0"/>
                <w:szCs w:val="21"/>
              </w:rPr>
              <w:t>注：农药使用以最新版本NY/T393的规定为准。</w:t>
            </w:r>
          </w:p>
        </w:tc>
      </w:tr>
    </w:tbl>
    <w:p w14:paraId="52D579D2">
      <w:pPr>
        <w:widowControl/>
        <w:jc w:val="left"/>
        <w:rPr>
          <w:rFonts w:ascii="宋体" w:hAnsi="宋体" w:eastAsia="宋体" w:cs="宋体"/>
          <w:kern w:val="0"/>
          <w:sz w:val="24"/>
          <w:szCs w:val="24"/>
          <w:u w:val="single"/>
        </w:rPr>
      </w:pPr>
    </w:p>
    <w:p w14:paraId="62AF5BBB">
      <w:pPr>
        <w:widowControl/>
        <w:jc w:val="left"/>
        <w:rPr>
          <w:rFonts w:ascii="宋体" w:hAnsi="宋体" w:eastAsia="宋体" w:cs="宋体"/>
          <w:kern w:val="0"/>
          <w:sz w:val="24"/>
          <w:szCs w:val="24"/>
          <w:u w:val="single"/>
        </w:rPr>
      </w:pPr>
    </w:p>
    <w:p w14:paraId="7C5F0B18">
      <w:pPr>
        <w:widowControl/>
        <w:jc w:val="left"/>
        <w:rPr>
          <w:rFonts w:ascii="宋体" w:hAnsi="宋体" w:eastAsia="宋体" w:cs="宋体"/>
          <w:kern w:val="0"/>
          <w:sz w:val="24"/>
          <w:szCs w:val="24"/>
          <w:u w:val="single"/>
        </w:rPr>
      </w:pPr>
    </w:p>
    <w:p w14:paraId="653982B7">
      <w:pPr>
        <w:widowControl/>
        <w:jc w:val="left"/>
        <w:rPr>
          <w:rFonts w:ascii="宋体" w:hAnsi="宋体" w:eastAsia="宋体" w:cs="宋体"/>
          <w:kern w:val="0"/>
          <w:sz w:val="24"/>
          <w:szCs w:val="24"/>
          <w:u w:val="single"/>
        </w:rPr>
      </w:pPr>
    </w:p>
    <w:p w14:paraId="6A588F01">
      <w:pPr>
        <w:widowControl/>
        <w:jc w:val="left"/>
        <w:rPr>
          <w:rFonts w:ascii="宋体" w:hAnsi="宋体" w:eastAsia="宋体" w:cs="宋体"/>
          <w:kern w:val="0"/>
          <w:sz w:val="24"/>
          <w:szCs w:val="24"/>
          <w:u w:val="single"/>
        </w:rPr>
      </w:pPr>
    </w:p>
    <w:p w14:paraId="6273021C">
      <w:pPr>
        <w:widowControl/>
        <w:jc w:val="left"/>
        <w:rPr>
          <w:rFonts w:ascii="宋体" w:hAnsi="宋体" w:eastAsia="宋体" w:cs="宋体"/>
          <w:kern w:val="0"/>
          <w:sz w:val="24"/>
          <w:szCs w:val="24"/>
          <w:u w:val="single"/>
        </w:rPr>
      </w:pPr>
    </w:p>
    <w:p w14:paraId="7124E9D3">
      <w:pPr>
        <w:widowControl/>
        <w:jc w:val="left"/>
        <w:rPr>
          <w:rFonts w:ascii="宋体" w:hAnsi="宋体" w:eastAsia="宋体" w:cs="宋体"/>
          <w:kern w:val="0"/>
          <w:sz w:val="24"/>
          <w:szCs w:val="24"/>
          <w:u w:val="single"/>
        </w:rPr>
      </w:pPr>
    </w:p>
    <w:p w14:paraId="302B34F2">
      <w:pPr>
        <w:widowControl/>
        <w:jc w:val="left"/>
        <w:rPr>
          <w:rFonts w:ascii="宋体" w:hAnsi="宋体" w:eastAsia="宋体" w:cs="宋体"/>
          <w:kern w:val="0"/>
          <w:sz w:val="24"/>
          <w:szCs w:val="24"/>
          <w:u w:val="single"/>
        </w:rPr>
      </w:pPr>
    </w:p>
    <w:p w14:paraId="049AF3F8">
      <w:pPr>
        <w:ind w:firstLine="3720" w:firstLineChars="1550"/>
        <w:rPr>
          <w:rFonts w:ascii="黑体" w:hAnsi="黑体" w:eastAsia="黑体"/>
          <w:sz w:val="24"/>
          <w:szCs w:val="24"/>
          <w:u w:val="single"/>
        </w:rPr>
      </w:pPr>
    </w:p>
    <w:p w14:paraId="478E3295">
      <w:pPr>
        <w:ind w:firstLine="3720" w:firstLineChars="1550"/>
        <w:rPr>
          <w:rFonts w:ascii="黑体" w:hAnsi="黑体" w:eastAsia="黑体"/>
          <w:sz w:val="24"/>
          <w:szCs w:val="24"/>
          <w:u w:val="single"/>
        </w:rPr>
      </w:pPr>
    </w:p>
    <w:p w14:paraId="35374E87">
      <w:pPr>
        <w:ind w:firstLine="3720" w:firstLineChars="1550"/>
        <w:rPr>
          <w:rFonts w:ascii="黑体" w:hAnsi="黑体" w:eastAsia="黑体"/>
          <w:sz w:val="24"/>
          <w:szCs w:val="24"/>
          <w:u w:val="single"/>
        </w:rPr>
      </w:pPr>
      <w:r>
        <w:rPr>
          <w:rFonts w:hint="eastAsia" w:ascii="黑体" w:hAnsi="黑体" w:eastAsia="黑体"/>
          <w:sz w:val="24"/>
          <w:szCs w:val="24"/>
          <w:u w:val="single"/>
        </w:rPr>
        <w:t>附 录B</w:t>
      </w:r>
    </w:p>
    <w:p w14:paraId="25CC6710">
      <w:pPr>
        <w:jc w:val="center"/>
        <w:rPr>
          <w:rFonts w:ascii="黑体" w:hAnsi="黑体" w:eastAsia="黑体"/>
          <w:sz w:val="24"/>
          <w:szCs w:val="24"/>
          <w:u w:val="single"/>
        </w:rPr>
      </w:pPr>
      <w:r>
        <w:rPr>
          <w:rFonts w:hint="eastAsia" w:ascii="黑体" w:hAnsi="黑体" w:eastAsia="黑体"/>
          <w:sz w:val="24"/>
          <w:szCs w:val="24"/>
          <w:u w:val="single"/>
        </w:rPr>
        <w:t>（资料性附录）</w:t>
      </w:r>
    </w:p>
    <w:p w14:paraId="2D9A985F">
      <w:pPr>
        <w:jc w:val="center"/>
        <w:rPr>
          <w:rFonts w:ascii="黑体" w:hAnsi="黑体" w:eastAsia="黑体"/>
          <w:sz w:val="24"/>
          <w:szCs w:val="24"/>
          <w:u w:val="single"/>
        </w:rPr>
      </w:pPr>
      <w:r>
        <w:rPr>
          <w:rFonts w:hint="eastAsia" w:ascii="黑体" w:hAnsi="黑体" w:eastAsia="黑体"/>
          <w:sz w:val="24"/>
          <w:szCs w:val="24"/>
          <w:u w:val="single"/>
        </w:rPr>
        <w:t>团体标准修改单</w:t>
      </w:r>
    </w:p>
    <w:p w14:paraId="1ED439E6">
      <w:pPr>
        <w:spacing w:before="240"/>
        <w:jc w:val="center"/>
        <w:rPr>
          <w:rFonts w:ascii="黑体" w:hAnsi="黑体" w:eastAsia="黑体"/>
          <w:sz w:val="24"/>
          <w:szCs w:val="24"/>
          <w:u w:val="single"/>
        </w:rPr>
      </w:pPr>
      <w:r>
        <w:rPr>
          <w:rFonts w:hint="eastAsia" w:ascii="黑体" w:hAnsi="黑体" w:eastAsia="黑体"/>
          <w:sz w:val="24"/>
          <w:szCs w:val="24"/>
          <w:u w:val="single"/>
        </w:rPr>
        <w:t>绿色食品 东北地区玉米生产操作规程</w:t>
      </w:r>
    </w:p>
    <w:p w14:paraId="4EBDE7AC">
      <w:pPr>
        <w:jc w:val="center"/>
        <w:rPr>
          <w:rFonts w:ascii="黑体" w:hAnsi="黑体" w:eastAsia="黑体"/>
          <w:sz w:val="24"/>
          <w:szCs w:val="24"/>
          <w:u w:val="single"/>
        </w:rPr>
      </w:pPr>
      <w:r>
        <w:rPr>
          <w:rFonts w:hint="eastAsia" w:ascii="黑体" w:hAnsi="黑体" w:eastAsia="黑体"/>
          <w:sz w:val="24"/>
          <w:szCs w:val="24"/>
          <w:u w:val="single"/>
        </w:rPr>
        <w:t>第XX号修改单</w:t>
      </w:r>
    </w:p>
    <w:p w14:paraId="666D9763">
      <w:pPr>
        <w:jc w:val="center"/>
        <w:rPr>
          <w:rFonts w:ascii="黑体" w:hAnsi="黑体" w:eastAsia="黑体"/>
          <w:sz w:val="24"/>
          <w:szCs w:val="24"/>
        </w:rPr>
      </w:pPr>
    </w:p>
    <w:p w14:paraId="15558C01">
      <w:pPr>
        <w:widowControl/>
        <w:ind w:firstLine="400" w:firstLineChars="200"/>
        <w:jc w:val="left"/>
      </w:pPr>
      <w:r>
        <w:rPr>
          <w:rFonts w:hint="eastAsia" w:ascii="宋体" w:hAnsi="宋体" w:eastAsia="宋体" w:cs="宋体"/>
          <w:kern w:val="0"/>
          <w:sz w:val="20"/>
          <w:szCs w:val="20"/>
        </w:rPr>
        <w:t xml:space="preserve">本修改单经中国绿色食品协会于××××年××月××日批准，自××××年×× </w:t>
      </w:r>
    </w:p>
    <w:p w14:paraId="0DE8D071">
      <w:pPr>
        <w:widowControl/>
        <w:jc w:val="left"/>
      </w:pPr>
      <w:r>
        <w:rPr>
          <w:rFonts w:hint="eastAsia" w:ascii="宋体" w:hAnsi="宋体" w:eastAsia="宋体" w:cs="宋体"/>
          <w:kern w:val="0"/>
          <w:sz w:val="20"/>
          <w:szCs w:val="20"/>
        </w:rPr>
        <w:t xml:space="preserve">月××日起实施。 </w:t>
      </w:r>
    </w:p>
    <w:p w14:paraId="37913CDE">
      <w:pPr>
        <w:widowControl/>
        <w:jc w:val="left"/>
        <w:rPr>
          <w:rFonts w:ascii="宋体" w:hAnsi="宋体" w:eastAsia="宋体" w:cs="宋体"/>
          <w:szCs w:val="21"/>
        </w:rPr>
      </w:pPr>
    </w:p>
    <w:p w14:paraId="59D8E4DE">
      <w:pPr>
        <w:widowControl/>
        <w:numPr>
          <w:ilvl w:val="255"/>
          <w:numId w:val="0"/>
        </w:numPr>
        <w:jc w:val="left"/>
        <w:rPr>
          <w:rFonts w:ascii="宋体" w:hAnsi="宋体" w:eastAsia="宋体" w:cs="宋体"/>
          <w:szCs w:val="21"/>
        </w:rPr>
      </w:pPr>
      <w:r>
        <w:rPr>
          <w:rFonts w:hint="eastAsia"/>
          <w:szCs w:val="2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137795</wp:posOffset>
                </wp:positionV>
                <wp:extent cx="5320030" cy="0"/>
                <wp:effectExtent l="0" t="0" r="0" b="0"/>
                <wp:wrapNone/>
                <wp:docPr id="62457010" name="直接连接符 1"/>
                <wp:cNvGraphicFramePr/>
                <a:graphic xmlns:a="http://schemas.openxmlformats.org/drawingml/2006/main">
                  <a:graphicData uri="http://schemas.microsoft.com/office/word/2010/wordprocessingShape">
                    <wps:wsp>
                      <wps:cNvCnPr/>
                      <wps:spPr>
                        <a:xfrm>
                          <a:off x="0" y="0"/>
                          <a:ext cx="532003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直接连接符 1" o:spid="_x0000_s1026" o:spt="20" style="position:absolute;left:0pt;margin-left:1.2pt;margin-top:10.85pt;height:0pt;width:418.9pt;z-index:251659264;mso-width-relative:page;mso-height-relative:page;" filled="f" stroked="t" coordsize="21600,21600" o:gfxdata="UEsDBAoAAAAAAIdO4kAAAAAAAAAAAAAAAAAEAAAAZHJzL1BLAwQUAAAACACHTuJA6sTRKtYAAAAH&#10;AQAADwAAAGRycy9kb3ducmV2LnhtbE2OwU7DMBBE70j8g7VI3KidNKJVGqdCoIoDp5YKenTjJYka&#10;r6PYTQNfzyIOcBrtzGj2FevJdWLEIbSeNCQzBQKp8ralWsP+dXO3BBGiIWs6T6jhEwOsy+urwuTW&#10;X2iL4y7Wgkco5EZDE2OfSxmqBp0JM98jcfbhB2cin0Mt7WAuPO46mSp1L51piT80psfHBqvT7uw0&#10;vD0sTvPp+SnbxO3+MPhx/oJf71rf3iRqBSLiFP/K8IPP6FAy09GfyQbRaUgzLrIkCxAcLzOVgjj+&#10;GrIs5H/+8htQSwMEFAAAAAgAh07iQKbscUTsAQAAxwMAAA4AAABkcnMvZTJvRG9jLnhtbK1TS44T&#10;MRDdI3EHy3vSnQzzUSudWUw0bBBEAg7guN3dlvxTlSedXIILILGDFUv23IbhGJTdPSEMm1nQC3eV&#10;P6/qPT8vr/fWsJ0C1N7VfD4rOVNO+ka7ruYf3t++uOIMo3CNMN6pmh8U8uvV82fLIVRq4XtvGgWM&#10;QBxWQ6h5H2OoigJlr6zAmQ/K0WLrwYpIKXRFA2IgdGuKRVleFIOHJoCXCpFm1+MinxDhKYC+bbVU&#10;ay/vrHJxRAVlRCRK2OuAfJW7bVsl49u2RRWZqTkxjXmkIhRv01islqLqQIRey6kF8ZQWHnGyQjsq&#10;eoRaiyjYHeh/oKyW4NG3cSa9LUYiWRFiMS8fafOuF0FlLiQ1hqPo+P9g5ZvdBphuan6xeHl+ST1w&#10;5oSle7//9P3nxy+/fnym8f7bVzZPWg0BKzpy4zYwZRg2kIjvW7DpT5TYPut7OOqr9pFJmjw/IwOc&#10;UQX5sFb8ORgA4yvlLUtBzY12ibqoxO41RipGWx+2pGnnb7Ux+fqMYwM5eXFZJmhBnmzJCxTaQLzQ&#10;dZwJ05HZZYQMid7oJh1PQAjd9sYA24lkkfwlplTur22p9lpgP+7LS6N5rI70Hoy2Nb86PW1cQlfZ&#10;gxODpN6oV4q2vjlkGYuU0f3mopMXk4FOc4pP39/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rE&#10;0SrWAAAABwEAAA8AAAAAAAAAAQAgAAAAIgAAAGRycy9kb3ducmV2LnhtbFBLAQIUABQAAAAIAIdO&#10;4kCm7HFE7AEAAMcDAAAOAAAAAAAAAAEAIAAAACUBAABkcnMvZTJvRG9jLnhtbFBLBQYAAAAABgAG&#10;AFkBAACDBQAAAAA=&#10;">
                <v:fill on="f" focussize="0,0"/>
                <v:stroke weight="1pt" color="#000000" miterlimit="8" joinstyle="miter"/>
                <v:imagedata o:title=""/>
                <o:lock v:ext="edit" aspectratio="f"/>
              </v:line>
            </w:pict>
          </mc:Fallback>
        </mc:AlternateContent>
      </w:r>
    </w:p>
    <w:p w14:paraId="70D0F8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8D3666-00FE-4B4F-A1AD-118DF59741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2" w:fontKey="{279F7AAC-B9B2-4EBB-B2D4-A26C483A916A}"/>
  </w:font>
  <w:font w:name="Segoe UI">
    <w:panose1 w:val="020B0502040204020203"/>
    <w:charset w:val="00"/>
    <w:family w:val="swiss"/>
    <w:pitch w:val="default"/>
    <w:sig w:usb0="E4002EFF" w:usb1="C000E47F" w:usb2="00000009" w:usb3="00000000" w:csb0="200001FF" w:csb1="00000000"/>
    <w:embedRegular r:id="rId3" w:fontKey="{2350DCE9-A7CF-4643-83F4-4E0525A5D020}"/>
  </w:font>
  <w:font w:name="楷体">
    <w:panose1 w:val="02010609060101010101"/>
    <w:charset w:val="86"/>
    <w:family w:val="modern"/>
    <w:pitch w:val="default"/>
    <w:sig w:usb0="800002BF" w:usb1="38CF7CFA" w:usb2="00000016" w:usb3="00000000" w:csb0="00040001" w:csb1="00000000"/>
    <w:embedRegular r:id="rId4" w:fontKey="{CD736012-76DD-4FBC-922F-8311431CAB60}"/>
  </w:font>
  <w:font w:name="仿宋">
    <w:panose1 w:val="02010609060101010101"/>
    <w:charset w:val="86"/>
    <w:family w:val="modern"/>
    <w:pitch w:val="default"/>
    <w:sig w:usb0="800002BF" w:usb1="38CF7CFA" w:usb2="00000016" w:usb3="00000000" w:csb0="00040001" w:csb1="00000000"/>
    <w:embedRegular r:id="rId5" w:fontKey="{CC7D8B02-F1DA-4499-836F-254FB939E65C}"/>
  </w:font>
  <w:font w:name="微软雅黑">
    <w:panose1 w:val="020B0503020204020204"/>
    <w:charset w:val="86"/>
    <w:family w:val="swiss"/>
    <w:pitch w:val="default"/>
    <w:sig w:usb0="80000287" w:usb1="2ACF3C50" w:usb2="00000016" w:usb3="00000000" w:csb0="0004001F" w:csb1="00000000"/>
    <w:embedRegular r:id="rId6" w:fontKey="{6546A71E-88F9-4FD0-A01E-402969227A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2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030F9"/>
    <w:rsid w:val="000036A4"/>
    <w:rsid w:val="0004540C"/>
    <w:rsid w:val="00092E5D"/>
    <w:rsid w:val="000E7F73"/>
    <w:rsid w:val="001013B8"/>
    <w:rsid w:val="001173F8"/>
    <w:rsid w:val="00167A00"/>
    <w:rsid w:val="00167BF7"/>
    <w:rsid w:val="00167E00"/>
    <w:rsid w:val="00171440"/>
    <w:rsid w:val="00173562"/>
    <w:rsid w:val="00176644"/>
    <w:rsid w:val="00180069"/>
    <w:rsid w:val="00184E5C"/>
    <w:rsid w:val="001974BB"/>
    <w:rsid w:val="001A6AA0"/>
    <w:rsid w:val="001A6AB4"/>
    <w:rsid w:val="001E49DC"/>
    <w:rsid w:val="001E519A"/>
    <w:rsid w:val="001F7E4A"/>
    <w:rsid w:val="00211749"/>
    <w:rsid w:val="002213D1"/>
    <w:rsid w:val="00221E93"/>
    <w:rsid w:val="0022241F"/>
    <w:rsid w:val="002249A5"/>
    <w:rsid w:val="00254D11"/>
    <w:rsid w:val="0025619A"/>
    <w:rsid w:val="0026526D"/>
    <w:rsid w:val="002712E2"/>
    <w:rsid w:val="00272BBF"/>
    <w:rsid w:val="002810B5"/>
    <w:rsid w:val="002B6595"/>
    <w:rsid w:val="002B7D3F"/>
    <w:rsid w:val="002C22C2"/>
    <w:rsid w:val="002D1F8A"/>
    <w:rsid w:val="002F110F"/>
    <w:rsid w:val="003025CE"/>
    <w:rsid w:val="00307B6F"/>
    <w:rsid w:val="00323CAE"/>
    <w:rsid w:val="00325112"/>
    <w:rsid w:val="00353866"/>
    <w:rsid w:val="00361442"/>
    <w:rsid w:val="003620BA"/>
    <w:rsid w:val="00380396"/>
    <w:rsid w:val="003C385A"/>
    <w:rsid w:val="003D42E2"/>
    <w:rsid w:val="003F1F68"/>
    <w:rsid w:val="00413BD5"/>
    <w:rsid w:val="00422C14"/>
    <w:rsid w:val="00430B23"/>
    <w:rsid w:val="00432683"/>
    <w:rsid w:val="00467F06"/>
    <w:rsid w:val="0047357B"/>
    <w:rsid w:val="00487803"/>
    <w:rsid w:val="00487DCC"/>
    <w:rsid w:val="004A0A46"/>
    <w:rsid w:val="004C517D"/>
    <w:rsid w:val="00500138"/>
    <w:rsid w:val="00503376"/>
    <w:rsid w:val="00504A1D"/>
    <w:rsid w:val="005123DE"/>
    <w:rsid w:val="005224C4"/>
    <w:rsid w:val="00533667"/>
    <w:rsid w:val="00550656"/>
    <w:rsid w:val="00561350"/>
    <w:rsid w:val="005613F2"/>
    <w:rsid w:val="00566C41"/>
    <w:rsid w:val="00567F67"/>
    <w:rsid w:val="00590344"/>
    <w:rsid w:val="005A4DC7"/>
    <w:rsid w:val="005F0EE4"/>
    <w:rsid w:val="0060494B"/>
    <w:rsid w:val="00605995"/>
    <w:rsid w:val="00614326"/>
    <w:rsid w:val="0062693E"/>
    <w:rsid w:val="00630E24"/>
    <w:rsid w:val="00685EA9"/>
    <w:rsid w:val="006910AE"/>
    <w:rsid w:val="006B251A"/>
    <w:rsid w:val="006D24F9"/>
    <w:rsid w:val="006E0E7F"/>
    <w:rsid w:val="006F22C7"/>
    <w:rsid w:val="006F5340"/>
    <w:rsid w:val="0071086A"/>
    <w:rsid w:val="00713CC6"/>
    <w:rsid w:val="00714900"/>
    <w:rsid w:val="007433BE"/>
    <w:rsid w:val="0074527F"/>
    <w:rsid w:val="007614EA"/>
    <w:rsid w:val="00772DB3"/>
    <w:rsid w:val="00775345"/>
    <w:rsid w:val="00781F88"/>
    <w:rsid w:val="00783B78"/>
    <w:rsid w:val="00790C70"/>
    <w:rsid w:val="00804679"/>
    <w:rsid w:val="00834BB4"/>
    <w:rsid w:val="00837971"/>
    <w:rsid w:val="008436D3"/>
    <w:rsid w:val="008666C1"/>
    <w:rsid w:val="00880C53"/>
    <w:rsid w:val="008B36C3"/>
    <w:rsid w:val="008E34E8"/>
    <w:rsid w:val="008E476E"/>
    <w:rsid w:val="008F1F6B"/>
    <w:rsid w:val="00904089"/>
    <w:rsid w:val="0092492A"/>
    <w:rsid w:val="009378B1"/>
    <w:rsid w:val="0095070F"/>
    <w:rsid w:val="00951619"/>
    <w:rsid w:val="009548DB"/>
    <w:rsid w:val="0097594D"/>
    <w:rsid w:val="009A080D"/>
    <w:rsid w:val="009E7A93"/>
    <w:rsid w:val="009F3C41"/>
    <w:rsid w:val="00A1091F"/>
    <w:rsid w:val="00A1233B"/>
    <w:rsid w:val="00A27E0E"/>
    <w:rsid w:val="00A53192"/>
    <w:rsid w:val="00A67B7D"/>
    <w:rsid w:val="00AA045F"/>
    <w:rsid w:val="00AB5AE1"/>
    <w:rsid w:val="00AB744F"/>
    <w:rsid w:val="00AC1707"/>
    <w:rsid w:val="00AC386B"/>
    <w:rsid w:val="00B10096"/>
    <w:rsid w:val="00B1402C"/>
    <w:rsid w:val="00B6749F"/>
    <w:rsid w:val="00BA20F5"/>
    <w:rsid w:val="00BA6B79"/>
    <w:rsid w:val="00BC6AD2"/>
    <w:rsid w:val="00BF68F9"/>
    <w:rsid w:val="00C0578E"/>
    <w:rsid w:val="00C126C0"/>
    <w:rsid w:val="00C545A6"/>
    <w:rsid w:val="00C54F3A"/>
    <w:rsid w:val="00C84E66"/>
    <w:rsid w:val="00C86853"/>
    <w:rsid w:val="00CA3743"/>
    <w:rsid w:val="00CE0A16"/>
    <w:rsid w:val="00CE0F5D"/>
    <w:rsid w:val="00CF76F6"/>
    <w:rsid w:val="00D217DB"/>
    <w:rsid w:val="00D23DA7"/>
    <w:rsid w:val="00D24F94"/>
    <w:rsid w:val="00D5795F"/>
    <w:rsid w:val="00D72818"/>
    <w:rsid w:val="00D80CE3"/>
    <w:rsid w:val="00DB59F0"/>
    <w:rsid w:val="00DE2065"/>
    <w:rsid w:val="00E0017D"/>
    <w:rsid w:val="00E01414"/>
    <w:rsid w:val="00E04DAF"/>
    <w:rsid w:val="00E14862"/>
    <w:rsid w:val="00E16E63"/>
    <w:rsid w:val="00E34006"/>
    <w:rsid w:val="00E4022C"/>
    <w:rsid w:val="00E719DE"/>
    <w:rsid w:val="00E72A55"/>
    <w:rsid w:val="00E74BCF"/>
    <w:rsid w:val="00E9181A"/>
    <w:rsid w:val="00EA39B2"/>
    <w:rsid w:val="00EB3E27"/>
    <w:rsid w:val="00F00520"/>
    <w:rsid w:val="00F25705"/>
    <w:rsid w:val="00F747A1"/>
    <w:rsid w:val="00F92361"/>
    <w:rsid w:val="00FB05A5"/>
    <w:rsid w:val="00FD550A"/>
    <w:rsid w:val="00FE5DBC"/>
    <w:rsid w:val="00FE5DCF"/>
    <w:rsid w:val="00FE6ECC"/>
    <w:rsid w:val="02ED7EC0"/>
    <w:rsid w:val="030D40BE"/>
    <w:rsid w:val="03231B33"/>
    <w:rsid w:val="039667A9"/>
    <w:rsid w:val="04A110F7"/>
    <w:rsid w:val="0575419C"/>
    <w:rsid w:val="05791EDF"/>
    <w:rsid w:val="06CE70B8"/>
    <w:rsid w:val="07261BF2"/>
    <w:rsid w:val="07660241"/>
    <w:rsid w:val="076F5DD8"/>
    <w:rsid w:val="07D653C6"/>
    <w:rsid w:val="091F2D9D"/>
    <w:rsid w:val="096E3EAC"/>
    <w:rsid w:val="09B434E5"/>
    <w:rsid w:val="0A412F2D"/>
    <w:rsid w:val="0A5B7E05"/>
    <w:rsid w:val="0A7D421F"/>
    <w:rsid w:val="0A801619"/>
    <w:rsid w:val="0AA01CBB"/>
    <w:rsid w:val="0ABB6AF5"/>
    <w:rsid w:val="0C8301F0"/>
    <w:rsid w:val="0D002EE5"/>
    <w:rsid w:val="0D8E6743"/>
    <w:rsid w:val="0DDD6D83"/>
    <w:rsid w:val="0EF44384"/>
    <w:rsid w:val="0F977B31"/>
    <w:rsid w:val="0F9A4F2B"/>
    <w:rsid w:val="0FAF717F"/>
    <w:rsid w:val="103B4960"/>
    <w:rsid w:val="12A865D7"/>
    <w:rsid w:val="12C14EC5"/>
    <w:rsid w:val="13675A6C"/>
    <w:rsid w:val="14F72CD4"/>
    <w:rsid w:val="16A550C0"/>
    <w:rsid w:val="17681DB3"/>
    <w:rsid w:val="17984446"/>
    <w:rsid w:val="17AC0191"/>
    <w:rsid w:val="19045B0B"/>
    <w:rsid w:val="1A50725A"/>
    <w:rsid w:val="1ABB0818"/>
    <w:rsid w:val="1BAA0BEC"/>
    <w:rsid w:val="1C890801"/>
    <w:rsid w:val="1D1F47AD"/>
    <w:rsid w:val="1E0210EB"/>
    <w:rsid w:val="1E1278FC"/>
    <w:rsid w:val="1E791675"/>
    <w:rsid w:val="1EA26CAD"/>
    <w:rsid w:val="1EE73F05"/>
    <w:rsid w:val="1FF02946"/>
    <w:rsid w:val="20855A40"/>
    <w:rsid w:val="21521B0A"/>
    <w:rsid w:val="21B300CF"/>
    <w:rsid w:val="21C7063D"/>
    <w:rsid w:val="221C5C74"/>
    <w:rsid w:val="22243D52"/>
    <w:rsid w:val="22374E87"/>
    <w:rsid w:val="224C47AB"/>
    <w:rsid w:val="23B24AE2"/>
    <w:rsid w:val="24133C83"/>
    <w:rsid w:val="244A1145"/>
    <w:rsid w:val="25F80BEF"/>
    <w:rsid w:val="26B77E68"/>
    <w:rsid w:val="26C30CEC"/>
    <w:rsid w:val="26F45411"/>
    <w:rsid w:val="271D1824"/>
    <w:rsid w:val="28153891"/>
    <w:rsid w:val="2A3873C3"/>
    <w:rsid w:val="2A7E3970"/>
    <w:rsid w:val="2A9375F8"/>
    <w:rsid w:val="2AA84549"/>
    <w:rsid w:val="2B0F4649"/>
    <w:rsid w:val="2C8608B9"/>
    <w:rsid w:val="2CB13B0D"/>
    <w:rsid w:val="2CE61358"/>
    <w:rsid w:val="2D214A86"/>
    <w:rsid w:val="2DCF003E"/>
    <w:rsid w:val="2E0F0005"/>
    <w:rsid w:val="2EC658E5"/>
    <w:rsid w:val="2FD302BA"/>
    <w:rsid w:val="2FDE6C5E"/>
    <w:rsid w:val="2FE73D65"/>
    <w:rsid w:val="30896BCA"/>
    <w:rsid w:val="30CC4D09"/>
    <w:rsid w:val="317433D6"/>
    <w:rsid w:val="320D162A"/>
    <w:rsid w:val="3293788C"/>
    <w:rsid w:val="32D6521C"/>
    <w:rsid w:val="34A27E10"/>
    <w:rsid w:val="35C80195"/>
    <w:rsid w:val="361D1FA0"/>
    <w:rsid w:val="36592B9B"/>
    <w:rsid w:val="37797999"/>
    <w:rsid w:val="3787198A"/>
    <w:rsid w:val="380134EA"/>
    <w:rsid w:val="39916AF0"/>
    <w:rsid w:val="3A15327D"/>
    <w:rsid w:val="3ACE7FFB"/>
    <w:rsid w:val="3AFA0DF0"/>
    <w:rsid w:val="3B381919"/>
    <w:rsid w:val="3B4C7172"/>
    <w:rsid w:val="3B620744"/>
    <w:rsid w:val="3CFC58ED"/>
    <w:rsid w:val="3D587AC8"/>
    <w:rsid w:val="3D7824A0"/>
    <w:rsid w:val="3D923A95"/>
    <w:rsid w:val="3F406FEE"/>
    <w:rsid w:val="3F4A7E6C"/>
    <w:rsid w:val="3F650802"/>
    <w:rsid w:val="3FAC01DF"/>
    <w:rsid w:val="3FF1653A"/>
    <w:rsid w:val="400D3374"/>
    <w:rsid w:val="41BB4A1A"/>
    <w:rsid w:val="41C10C4B"/>
    <w:rsid w:val="42075BA1"/>
    <w:rsid w:val="43AC2EA4"/>
    <w:rsid w:val="45E701C3"/>
    <w:rsid w:val="46963997"/>
    <w:rsid w:val="46ED7A5B"/>
    <w:rsid w:val="47FF747A"/>
    <w:rsid w:val="48092B19"/>
    <w:rsid w:val="4823125B"/>
    <w:rsid w:val="4867383D"/>
    <w:rsid w:val="493A2D00"/>
    <w:rsid w:val="49F57FBD"/>
    <w:rsid w:val="4A4C6847"/>
    <w:rsid w:val="4A5BC11F"/>
    <w:rsid w:val="4A9106FD"/>
    <w:rsid w:val="4A9C318A"/>
    <w:rsid w:val="4B005883"/>
    <w:rsid w:val="4B83273C"/>
    <w:rsid w:val="4B944949"/>
    <w:rsid w:val="4BE8259F"/>
    <w:rsid w:val="4C433C79"/>
    <w:rsid w:val="4CC528E0"/>
    <w:rsid w:val="4E5E123E"/>
    <w:rsid w:val="4ECA3C43"/>
    <w:rsid w:val="4F42290E"/>
    <w:rsid w:val="508A00C9"/>
    <w:rsid w:val="50EB11F0"/>
    <w:rsid w:val="50EC48E0"/>
    <w:rsid w:val="514254F0"/>
    <w:rsid w:val="53071EA5"/>
    <w:rsid w:val="530C3017"/>
    <w:rsid w:val="53837A1F"/>
    <w:rsid w:val="53DC22CC"/>
    <w:rsid w:val="54AB7A0C"/>
    <w:rsid w:val="55052414"/>
    <w:rsid w:val="55717AA9"/>
    <w:rsid w:val="558772CD"/>
    <w:rsid w:val="56BC6B02"/>
    <w:rsid w:val="56C1680E"/>
    <w:rsid w:val="56F52DDC"/>
    <w:rsid w:val="591E5852"/>
    <w:rsid w:val="59633BAD"/>
    <w:rsid w:val="5A1D3D5C"/>
    <w:rsid w:val="5A865DA5"/>
    <w:rsid w:val="5B5C4D58"/>
    <w:rsid w:val="5B9B13DC"/>
    <w:rsid w:val="5BD82630"/>
    <w:rsid w:val="5D0E61F4"/>
    <w:rsid w:val="5D276C9F"/>
    <w:rsid w:val="5DBA5211"/>
    <w:rsid w:val="5E7303EE"/>
    <w:rsid w:val="5ED13367"/>
    <w:rsid w:val="5F0059FA"/>
    <w:rsid w:val="5F78AF6A"/>
    <w:rsid w:val="5FDF25F8"/>
    <w:rsid w:val="6363332A"/>
    <w:rsid w:val="63B514A9"/>
    <w:rsid w:val="63FA5A12"/>
    <w:rsid w:val="64AFC870"/>
    <w:rsid w:val="64DF4A2F"/>
    <w:rsid w:val="655D3BA6"/>
    <w:rsid w:val="6832131A"/>
    <w:rsid w:val="691F5C3D"/>
    <w:rsid w:val="6931330C"/>
    <w:rsid w:val="697B45FB"/>
    <w:rsid w:val="6A745C1A"/>
    <w:rsid w:val="6A953744"/>
    <w:rsid w:val="6BD13FFF"/>
    <w:rsid w:val="6BE566A3"/>
    <w:rsid w:val="6C066D46"/>
    <w:rsid w:val="6C3F7360"/>
    <w:rsid w:val="6CBA7B30"/>
    <w:rsid w:val="6D12171A"/>
    <w:rsid w:val="6D3276C6"/>
    <w:rsid w:val="6DE035C6"/>
    <w:rsid w:val="6E239581"/>
    <w:rsid w:val="6F5F2EAE"/>
    <w:rsid w:val="712B39A2"/>
    <w:rsid w:val="71436346"/>
    <w:rsid w:val="721B4BCD"/>
    <w:rsid w:val="72271C00"/>
    <w:rsid w:val="72C139C6"/>
    <w:rsid w:val="74CE598A"/>
    <w:rsid w:val="74F1000A"/>
    <w:rsid w:val="75834F63"/>
    <w:rsid w:val="775A7F45"/>
    <w:rsid w:val="776B5CAF"/>
    <w:rsid w:val="778C23F0"/>
    <w:rsid w:val="77DA4BE2"/>
    <w:rsid w:val="780B1240"/>
    <w:rsid w:val="783764D9"/>
    <w:rsid w:val="784339AA"/>
    <w:rsid w:val="787B0173"/>
    <w:rsid w:val="78D4383F"/>
    <w:rsid w:val="78F20A82"/>
    <w:rsid w:val="79030169"/>
    <w:rsid w:val="79F2235B"/>
    <w:rsid w:val="7A2111EE"/>
    <w:rsid w:val="7CBE2D25"/>
    <w:rsid w:val="7CE3278B"/>
    <w:rsid w:val="7D494CE4"/>
    <w:rsid w:val="7DED1B13"/>
    <w:rsid w:val="7EA5921F"/>
    <w:rsid w:val="7EED78F1"/>
    <w:rsid w:val="7F6C2F0C"/>
    <w:rsid w:val="7FB1091F"/>
    <w:rsid w:val="7FBB354B"/>
    <w:rsid w:val="7FFFE449"/>
    <w:rsid w:val="BFDFDCF2"/>
    <w:rsid w:val="FFBFB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outlineLvl w:val="0"/>
    </w:pPr>
    <w:rPr>
      <w:rFonts w:ascii="黑体" w:hAnsi="黑体" w:eastAsia="黑体"/>
      <w:bCs/>
      <w:kern w:val="44"/>
      <w:szCs w:val="44"/>
    </w:rPr>
  </w:style>
  <w:style w:type="paragraph" w:styleId="3">
    <w:name w:val="heading 4"/>
    <w:basedOn w:val="1"/>
    <w:link w:val="2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jc w:val="left"/>
    </w:p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39"/>
    <w:semiHidden/>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日期 Char"/>
    <w:basedOn w:val="12"/>
    <w:link w:val="5"/>
    <w:semiHidden/>
    <w:qFormat/>
    <w:uiPriority w:val="99"/>
    <w:rPr>
      <w:kern w:val="2"/>
      <w:sz w:val="21"/>
      <w:szCs w:val="22"/>
    </w:rPr>
  </w:style>
  <w:style w:type="character" w:customStyle="1" w:styleId="16">
    <w:name w:val="批注框文本 Char"/>
    <w:basedOn w:val="12"/>
    <w:link w:val="6"/>
    <w:semiHidden/>
    <w:qFormat/>
    <w:uiPriority w:val="99"/>
    <w:rPr>
      <w:kern w:val="2"/>
      <w:sz w:val="18"/>
      <w:szCs w:val="18"/>
    </w:rPr>
  </w:style>
  <w:style w:type="paragraph" w:customStyle="1" w:styleId="17">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8">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19">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0">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1">
    <w:name w:val="封面标准英文名称"/>
    <w:basedOn w:val="1"/>
    <w:autoRedefine/>
    <w:qFormat/>
    <w:uiPriority w:val="0"/>
    <w:pPr>
      <w:framePr w:w="9639" w:h="6974" w:hRule="exact" w:wrap="around" w:vAnchor="page" w:hAnchor="page" w:x="1419" w:y="6408"/>
      <w:tabs>
        <w:tab w:val="left" w:pos="9639"/>
      </w:tabs>
      <w:spacing w:before="410" w:line="360" w:lineRule="exact"/>
      <w:jc w:val="center"/>
      <w:textAlignment w:val="bottom"/>
    </w:pPr>
    <w:rPr>
      <w:rFonts w:hint="eastAsia" w:ascii="Times New Roman" w:hAnsi="Times New Roman" w:eastAsia="黑体" w:cs="Times New Roman"/>
      <w:kern w:val="0"/>
      <w:sz w:val="28"/>
      <w:szCs w:val="20"/>
    </w:rPr>
  </w:style>
  <w:style w:type="paragraph" w:customStyle="1" w:styleId="22">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23">
    <w:name w:val="章标题"/>
    <w:next w:val="1"/>
    <w:link w:val="38"/>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24">
    <w:name w:val="批注文字 Char"/>
    <w:basedOn w:val="12"/>
    <w:link w:val="4"/>
    <w:qFormat/>
    <w:uiPriority w:val="99"/>
    <w:rPr>
      <w:kern w:val="2"/>
      <w:sz w:val="21"/>
      <w:szCs w:val="22"/>
    </w:rPr>
  </w:style>
  <w:style w:type="paragraph" w:customStyle="1" w:styleId="25">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hAnsi="Times New Roman" w:eastAsia="黑体" w:cs="Times New Roman"/>
      <w:sz w:val="52"/>
      <w:szCs w:val="52"/>
      <w:lang w:val="en-US" w:eastAsia="zh-CN" w:bidi="ar-SA"/>
    </w:rPr>
  </w:style>
  <w:style w:type="character" w:customStyle="1" w:styleId="26">
    <w:name w:val="页眉 Char"/>
    <w:basedOn w:val="12"/>
    <w:link w:val="8"/>
    <w:qFormat/>
    <w:uiPriority w:val="99"/>
    <w:rPr>
      <w:kern w:val="2"/>
      <w:sz w:val="18"/>
      <w:szCs w:val="18"/>
    </w:rPr>
  </w:style>
  <w:style w:type="character" w:customStyle="1" w:styleId="27">
    <w:name w:val="页脚 Char"/>
    <w:basedOn w:val="12"/>
    <w:link w:val="7"/>
    <w:qFormat/>
    <w:uiPriority w:val="99"/>
    <w:rPr>
      <w:kern w:val="2"/>
      <w:sz w:val="18"/>
      <w:szCs w:val="18"/>
    </w:rPr>
  </w:style>
  <w:style w:type="character" w:customStyle="1" w:styleId="28">
    <w:name w:val="标题 4 Char"/>
    <w:basedOn w:val="12"/>
    <w:link w:val="3"/>
    <w:qFormat/>
    <w:uiPriority w:val="9"/>
    <w:rPr>
      <w:rFonts w:ascii="宋体" w:hAnsi="宋体" w:eastAsia="宋体" w:cs="宋体"/>
      <w:b/>
      <w:bCs/>
      <w:sz w:val="24"/>
      <w:szCs w:val="24"/>
    </w:rPr>
  </w:style>
  <w:style w:type="paragraph" w:customStyle="1" w:styleId="29">
    <w:name w:val="段"/>
    <w:link w:val="3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列出段落1"/>
    <w:basedOn w:val="1"/>
    <w:qFormat/>
    <w:uiPriority w:val="99"/>
    <w:pPr>
      <w:ind w:firstLine="420"/>
    </w:pPr>
    <w:rPr>
      <w:rFonts w:ascii="Times New Roman" w:hAnsi="Times New Roman"/>
      <w:szCs w:val="21"/>
    </w:rPr>
  </w:style>
  <w:style w:type="paragraph" w:customStyle="1" w:styleId="31">
    <w:name w:val="列项——（一级）"/>
    <w:qFormat/>
    <w:uiPriority w:val="0"/>
    <w:pPr>
      <w:widowControl w:val="0"/>
      <w:tabs>
        <w:tab w:val="left" w:pos="360"/>
      </w:tabs>
      <w:jc w:val="both"/>
    </w:pPr>
    <w:rPr>
      <w:rFonts w:ascii="宋体" w:hAnsi="Times New Roman" w:eastAsia="宋体" w:cs="Times New Roman"/>
      <w:sz w:val="21"/>
      <w:lang w:val="en-US" w:eastAsia="zh-CN" w:bidi="ar-SA"/>
    </w:rPr>
  </w:style>
  <w:style w:type="character" w:customStyle="1" w:styleId="32">
    <w:name w:val="段 Char"/>
    <w:link w:val="29"/>
    <w:qFormat/>
    <w:uiPriority w:val="0"/>
    <w:rPr>
      <w:rFonts w:ascii="宋体"/>
      <w:sz w:val="21"/>
    </w:rPr>
  </w:style>
  <w:style w:type="character" w:customStyle="1" w:styleId="33">
    <w:name w:val="二级条标题 Char"/>
    <w:basedOn w:val="12"/>
    <w:link w:val="34"/>
    <w:qFormat/>
    <w:uiPriority w:val="0"/>
    <w:rPr>
      <w:rFonts w:ascii="黑体" w:eastAsia="黑体"/>
      <w:sz w:val="21"/>
      <w:szCs w:val="21"/>
    </w:rPr>
  </w:style>
  <w:style w:type="paragraph" w:customStyle="1" w:styleId="34">
    <w:name w:val="二级条标题"/>
    <w:basedOn w:val="1"/>
    <w:next w:val="29"/>
    <w:link w:val="33"/>
    <w:qFormat/>
    <w:uiPriority w:val="0"/>
    <w:pPr>
      <w:widowControl/>
      <w:tabs>
        <w:tab w:val="left" w:pos="2160"/>
      </w:tabs>
      <w:spacing w:beforeLines="50" w:afterLines="50"/>
      <w:ind w:left="2160" w:hanging="720"/>
      <w:jc w:val="left"/>
      <w:outlineLvl w:val="3"/>
    </w:pPr>
    <w:rPr>
      <w:rFonts w:ascii="黑体" w:hAnsi="Times New Roman" w:eastAsia="黑体" w:cs="Times New Roman"/>
      <w:kern w:val="0"/>
      <w:szCs w:val="21"/>
    </w:rPr>
  </w:style>
  <w:style w:type="character" w:customStyle="1" w:styleId="35">
    <w:name w:val="一级条标题 Char"/>
    <w:link w:val="36"/>
    <w:qFormat/>
    <w:uiPriority w:val="0"/>
    <w:rPr>
      <w:rFonts w:ascii="黑体" w:eastAsia="黑体"/>
      <w:sz w:val="21"/>
      <w:szCs w:val="21"/>
    </w:rPr>
  </w:style>
  <w:style w:type="paragraph" w:customStyle="1" w:styleId="36">
    <w:name w:val="一级条标题"/>
    <w:next w:val="29"/>
    <w:link w:val="35"/>
    <w:qFormat/>
    <w:uiPriority w:val="0"/>
    <w:pPr>
      <w:tabs>
        <w:tab w:val="left" w:pos="1440"/>
      </w:tabs>
      <w:spacing w:beforeLines="50" w:afterLines="50"/>
      <w:ind w:left="1440" w:hanging="720"/>
      <w:outlineLvl w:val="2"/>
    </w:pPr>
    <w:rPr>
      <w:rFonts w:ascii="黑体" w:hAnsi="Times New Roman" w:eastAsia="黑体" w:cs="Times New Roman"/>
      <w:sz w:val="21"/>
      <w:szCs w:val="21"/>
      <w:lang w:val="en-US" w:eastAsia="zh-CN" w:bidi="ar-SA"/>
    </w:rPr>
  </w:style>
  <w:style w:type="character" w:customStyle="1" w:styleId="37">
    <w:name w:val="HTML 预设格式 Char"/>
    <w:basedOn w:val="12"/>
    <w:semiHidden/>
    <w:qFormat/>
    <w:uiPriority w:val="99"/>
    <w:rPr>
      <w:rFonts w:ascii="Courier New" w:hAnsi="Courier New" w:cs="Courier New" w:eastAsiaTheme="minorEastAsia"/>
      <w:kern w:val="2"/>
    </w:rPr>
  </w:style>
  <w:style w:type="character" w:customStyle="1" w:styleId="38">
    <w:name w:val="章标题 Char"/>
    <w:link w:val="23"/>
    <w:qFormat/>
    <w:locked/>
    <w:uiPriority w:val="0"/>
    <w:rPr>
      <w:rFonts w:ascii="黑体" w:eastAsia="黑体"/>
      <w:sz w:val="21"/>
    </w:rPr>
  </w:style>
  <w:style w:type="character" w:customStyle="1" w:styleId="39">
    <w:name w:val="HTML 预设格式 Char1"/>
    <w:basedOn w:val="12"/>
    <w:link w:val="9"/>
    <w:semiHidden/>
    <w:qFormat/>
    <w:locked/>
    <w:uiPriority w:val="0"/>
    <w:rPr>
      <w:rFonts w:ascii="宋体" w:hAnsi="宋体" w:cs="宋体"/>
      <w:sz w:val="24"/>
      <w:szCs w:val="24"/>
    </w:rPr>
  </w:style>
  <w:style w:type="character" w:customStyle="1" w:styleId="40">
    <w:name w:val="apple-converted-space"/>
    <w:qFormat/>
    <w:uiPriority w:val="0"/>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414cb8-866f-4122-8099-1636c23d732d}"/>
        <w:style w:val=""/>
        <w:category>
          <w:name w:val="常规"/>
          <w:gallery w:val="placeholder"/>
        </w:category>
        <w:types>
          <w:type w:val="bbPlcHdr"/>
        </w:types>
        <w:behaviors>
          <w:behavior w:val="content"/>
        </w:behaviors>
        <w:description w:val=""/>
        <w:guid w:val="{65414CB8-866F-4122-8099-1636C23D732D}"/>
      </w:docPartPr>
      <w:docPartBody>
        <w:p w14:paraId="737D26F0">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615659"/>
    <w:rsid w:val="001B16FF"/>
    <w:rsid w:val="00215AFC"/>
    <w:rsid w:val="00397DC5"/>
    <w:rsid w:val="00611734"/>
    <w:rsid w:val="00613F54"/>
    <w:rsid w:val="00615659"/>
    <w:rsid w:val="008B36C3"/>
    <w:rsid w:val="00AF2587"/>
    <w:rsid w:val="00C1786F"/>
    <w:rsid w:val="00D80CE3"/>
    <w:rsid w:val="00E9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07A414EDCB4A429A829489051ADF34A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01b5feef-f2fa-4cb5-9543-1c43da5cbbef</errorID>
      <errorWord>粘土</errorWord>
      <group>L1_Word</group>
      <groupName>字词问题</groupName>
      <ability>L2_Typo</ability>
      <abilityName>字词错误</abilityName>
      <candidateList>
        <item>黏土</item>
      </candidateList>
      <explain>存在发音相同字词的误用。</explain>
      <paraID>54BBBF5C</paraID>
      <start>38</start>
      <end>40</end>
      <status>ignored</status>
      <modifiedWord/>
      <trackRevisions>false</trackRevisions>
    </reviewItem>
    <reviewItem>
      <errorID>ecb0685e-906f-41fe-84ce-8d1f47c6b352</errorID>
      <errorWord>一般</errorWord>
      <group>L1_Grammar</group>
      <groupName>语法问题</groupName>
      <ability>L2_Grammar</ability>
      <abilityName>语法错误</abilityName>
      <candidateList>
        <item>输水管道一般</item>
      </candidateList>
      <explain/>
      <paraID>159DA218</paraID>
      <start>5</start>
      <end>7</end>
      <status>ignored</status>
      <modifiedWord/>
      <trackRevisions>false</trackRevisions>
    </reviewItem>
    <reviewItem>
      <errorID>4973b5ce-3234-46ae-895a-2863cccab411</errorID>
      <errorWord>是</errorWord>
      <group>L1_Word</group>
      <groupName>字词问题</groupName>
      <ability>L2_Typo</ability>
      <abilityName>字词错误</abilityName>
      <candidateList>
        <item>为</item>
      </candidateList>
      <explain/>
      <paraID>159DA218</paraID>
      <start>7</start>
      <end>8</end>
      <status>modified</status>
      <modifiedWord>为</modifiedWord>
      <trackRevisions>false</trackRevisions>
    </reviewItem>
    <reviewItem>
      <errorID>b039daa1-357d-4dab-99c5-61af4e6b4032</errorID>
      <errorWord>土壤</errorWord>
      <group>L1_Word</group>
      <groupName>字词问题</groupName>
      <ability>L2_Typo</ability>
      <abilityName>字词错误</abilityName>
      <candidateList>
        <item>的土壤</item>
      </candidateList>
      <explain/>
      <paraID>518ADE48</paraID>
      <start>12</start>
      <end>15</end>
      <status>modified</status>
      <modifiedWord>的土壤</modifiedWord>
      <trackRevisions>false</trackRevisions>
    </reviewItem>
    <reviewItem>
      <errorID>505f2e97-f96a-4796-b6ca-5445cd0273a2</errorID>
      <errorWord>一般</errorWord>
      <group>L1_Punc</group>
      <groupName>标点问题</groupName>
      <ability>L2_Punc</ability>
      <abilityName>标点符号检查</abilityName>
      <candidateList>
        <item>，一般</item>
      </candidateList>
      <explain/>
      <paraID> 16DEA99</paraID>
      <start>6</start>
      <end>8</end>
      <status>ignored</status>
      <modifiedWord/>
      <trackRevisions>false</trackRevisions>
    </reviewItem>
    <reviewItem>
      <errorID>462ecd08-303d-430c-a4b9-9ea8aad96f92</errorID>
      <errorWord>撒施</errorWord>
      <group>L1_Word</group>
      <groupName>字词问题</groupName>
      <ability>L2_Typo</ability>
      <abilityName>字词错误</abilityName>
      <candidateList>
        <item> 撒施</item>
      </candidateList>
      <explain/>
      <paraID>3D3388E3</paraID>
      <start>7</start>
      <end>10</end>
      <status>modified</status>
      <modifiedWord> 撒施</modifiedWord>
      <trackRevisions>false</trackRevisions>
    </reviewItem>
    <reviewItem>
      <errorID>d5cc01c7-d2b6-49bc-9d5c-1979c44aa31c</errorID>
      <errorWord>借助于</errorWord>
      <group>L1_Word</group>
      <groupName>字词问题</groupName>
      <ability>L2_Typo</ability>
      <abilityName>字词错误</abilityName>
      <candidateList>
        <item>借助</item>
      </candidateList>
      <explain/>
      <paraID>42CFD2A2</paraID>
      <start>45</start>
      <end>47</end>
      <status>modified</status>
      <modifiedWord>借助</modifiedWord>
      <trackRevisions>false</trackRevisions>
    </reviewItem>
    <reviewItem>
      <errorID>bb035624-c5e4-4537-afc6-05836c2f62fb</errorID>
      <errorWord>马齿笕</errorWord>
      <group>L1_Word</group>
      <groupName>字词问题</groupName>
      <ability>L2_Typo</ability>
      <abilityName>字词错误</abilityName>
      <candidateList>
        <item>马齿苋</item>
      </candidateList>
      <explain/>
      <paraID>5A02D933</paraID>
      <start>20</start>
      <end>23</end>
      <status>modified</status>
      <modifiedWord>马齿苋</modifiedWord>
      <trackRevisions>false</trackRevisions>
    </reviewItem>
    <reviewItem>
      <errorID>887c03dc-3a2c-4332-8347-8ac535376c91</errorID>
      <errorWord>粘虫</errorWord>
      <group>L1_Word</group>
      <groupName>字词问题</groupName>
      <ability>L2_Typo</ability>
      <abilityName>字词错误</abilityName>
      <candidateList>
        <item>黏虫</item>
      </candidateList>
      <explain/>
      <paraID> 8134F2E</paraID>
      <start>54</start>
      <end>56</end>
      <status>ignored</status>
      <modifiedWord/>
      <trackRevisions>false</trackRevisions>
    </reviewItem>
    <reviewItem>
      <errorID>822425f0-096e-4bc5-aa5d-8cd0d1ac0505</errorID>
      <errorWord>～</errorWord>
      <group>L1_Format</group>
      <groupName>格式问题</groupName>
      <ability>L2_HalfPunc</ability>
      <abilityName>全半角检查</abilityName>
      <candidateList>
        <item>~</item>
      </candidateList>
      <explain>文本全半角错误。</explain>
      <paraID>6891E402</paraID>
      <start>4</start>
      <end>5</end>
      <status>ignored</status>
      <modifiedWord/>
      <trackRevisions>false</trackRevisions>
    </reviewItem>
    <reviewItem>
      <errorID>1a10bf81-a3b2-4901-b39f-6d7d846d85b7</errorID>
      <errorWord>～</errorWord>
      <group>L1_Format</group>
      <groupName>格式问题</groupName>
      <ability>L2_HalfPunc</ability>
      <abilityName>全半角检查</abilityName>
      <candidateList>
        <item>~</item>
      </candidateList>
      <explain>文本全半角错误。</explain>
      <paraID> 90FE2FA</paraID>
      <start>5</start>
      <end>6</end>
      <status>ignored</status>
      <modifiedWord/>
      <trackRevisions>false</trackRevisions>
    </reviewItem>
    <reviewItem>
      <errorID>56403076-84c2-4060-ba5e-009ca353b6ef</errorID>
      <errorWord>～</errorWord>
      <group>L1_Format</group>
      <groupName>格式问题</groupName>
      <ability>L2_HalfPunc</ability>
      <abilityName>全半角检查</abilityName>
      <candidateList>
        <item>~</item>
      </candidateList>
      <explain>文本全半角错误。</explain>
      <paraID>11D91173</paraID>
      <start>5</start>
      <end>6</end>
      <status>ignored</status>
      <modifiedWord/>
      <trackRevisions>false</trackRevisions>
    </reviewItem>
    <reviewItem>
      <errorID>f120a0ee-9543-4add-ad57-af8010889a9b</errorID>
      <errorWord>～</errorWord>
      <group>L1_Format</group>
      <groupName>格式问题</groupName>
      <ability>L2_HalfPunc</ability>
      <abilityName>全半角检查</abilityName>
      <candidateList>
        <item>~</item>
      </candidateList>
      <explain>文本全半角错误。</explain>
      <paraID> B6641A1</paraID>
      <start>4</start>
      <end>5</end>
      <status>ignored</status>
      <modifiedWord/>
      <trackRevisions>false</trackRevisions>
    </reviewItem>
    <reviewItem>
      <errorID>4396bdd3-da7a-4210-be49-c699da3008ad</errorID>
      <errorWord>～</errorWord>
      <group>L1_Format</group>
      <groupName>格式问题</groupName>
      <ability>L2_HalfPunc</ability>
      <abilityName>全半角检查</abilityName>
      <candidateList>
        <item>~</item>
      </candidateList>
      <explain>文本全半角错误。</explain>
      <paraID>3D2CEFEB</paraID>
      <start>4</start>
      <end>5</end>
      <status>ignored</status>
      <modifiedWord/>
      <trackRevisions>false</trackRevisions>
    </reviewItem>
    <reviewItem>
      <errorID>65dac5eb-9169-418a-97cd-880f0b9dc32e</errorID>
      <errorWord>～</errorWord>
      <group>L1_Format</group>
      <groupName>格式问题</groupName>
      <ability>L2_HalfPunc</ability>
      <abilityName>全半角检查</abilityName>
      <candidateList>
        <item>~</item>
      </candidateList>
      <explain>文本全半角错误。</explain>
      <paraID>71D0BCE7</paraID>
      <start>4</start>
      <end>5</end>
      <status>ignored</status>
      <modifiedWord/>
      <trackRevisions>false</trackRevisions>
    </reviewItem>
    <reviewItem>
      <errorID>da83984a-6652-4868-bb9a-2fb10ab96d31</errorID>
      <errorWord>～</errorWord>
      <group>L1_Format</group>
      <groupName>格式问题</groupName>
      <ability>L2_HalfPunc</ability>
      <abilityName>全半角检查</abilityName>
      <candidateList>
        <item>~</item>
      </candidateList>
      <explain>文本全半角错误。</explain>
      <paraID>2C472F0A</paraID>
      <start>4</start>
      <end>5</end>
      <status>ignored</status>
      <modifiedWord/>
      <trackRevisions>false</trackRevisions>
    </reviewItem>
    <reviewItem>
      <errorID>cfed37bd-3529-4b24-b007-7ab7e538a180</errorID>
      <errorWord>～</errorWord>
      <group>L1_Format</group>
      <groupName>格式问题</groupName>
      <ability>L2_HalfPunc</ability>
      <abilityName>全半角检查</abilityName>
      <candidateList>
        <item>~</item>
      </candidateList>
      <explain>文本全半角错误。</explain>
      <paraID>628F14A1</paraID>
      <start>4</start>
      <end>5</end>
      <status>ignored</status>
      <modifiedWord/>
      <trackRevisions>false</trackRevisions>
    </reviewItem>
    <reviewItem>
      <errorID>8b2b7cda-a864-43a4-9bd1-ca7657aed1c8</errorID>
      <errorWord>～</errorWord>
      <group>L1_Format</group>
      <groupName>格式问题</groupName>
      <ability>L2_HalfPunc</ability>
      <abilityName>全半角检查</abilityName>
      <candidateList>
        <item>~</item>
      </candidateList>
      <explain>文本全半角错误。</explain>
      <paraID>6B358D96</paraID>
      <start>4</start>
      <end>5</end>
      <status>ignored</status>
      <modifiedWord/>
      <trackRevisions>false</trackRevisions>
    </reviewItem>
    <reviewItem>
      <errorID>8af9c435-bdac-4b89-a3a4-daedc0fe9898</errorID>
      <errorWord>～</errorWord>
      <group>L1_Format</group>
      <groupName>格式问题</groupName>
      <ability>L2_HalfPunc</ability>
      <abilityName>全半角检查</abilityName>
      <candidateList>
        <item>~</item>
      </candidateList>
      <explain>文本全半角错误。</explain>
      <paraID>4D063D4A</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3C43D-8BF3-424D-9BBB-2813DF762D0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3822</Words>
  <Characters>4478</Characters>
  <Lines>35</Lines>
  <Paragraphs>10</Paragraphs>
  <TotalTime>24</TotalTime>
  <ScaleCrop>false</ScaleCrop>
  <LinksUpToDate>false</LinksUpToDate>
  <CharactersWithSpaces>4660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2026-03-30T05:47:00Z</dcterms:created>
  <dc:creator>志成</dc:creator>
  <cp:lastModifiedBy>房正</cp:lastModifiedBy>
  <dcterms:modified xsi:type="dcterms:W3CDTF">2026-04-15T01:03:02Z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C97BD7C81D7647FFB0D4B74DC19AB168_13</vt:lpwstr>
  </property>
  <property fmtid="{D5CDD505-2E9C-101B-9397-08002B2CF9AE}" pid="4" name="KSOTemplateDocerSaveRecord">
    <vt:lpwstr>eyJoZGlkIjoiMGUyOGZlMzdlZWEyMGFlYzc0ZWE1MGJlZjA4NmY3NTMiLCJ1c2VySWQiOiIyNzM3NDc2MDMifQ==</vt:lpwstr>
  </property>
</Properties>
</file>