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FE9A">
      <w:pPr>
        <w:pStyle w:val="18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T/CGFA×××-20××</w:t>
      </w:r>
    </w:p>
    <w:p w14:paraId="62B8FDBE">
      <w:pPr>
        <w:pStyle w:val="18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9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021B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09E23BAE">
            <w:pPr>
              <w:pStyle w:val="15"/>
              <w:framePr w:wrap="around"/>
              <w:rPr>
                <w:rFonts w:hint="default" w:ascii="Times New Roman"/>
                <w:sz w:val="10"/>
              </w:rPr>
            </w:pPr>
          </w:p>
        </w:tc>
      </w:tr>
    </w:tbl>
    <w:p w14:paraId="6E60C9CE">
      <w:pPr>
        <w:framePr w:w="9639" w:h="6974" w:hRule="exact" w:wrap="around" w:vAnchor="page" w:hAnchor="page" w:x="1419" w:y="6408"/>
        <w:spacing w:line="560" w:lineRule="exact"/>
        <w:jc w:val="center"/>
        <w:rPr>
          <w:rFonts w:ascii="Times New Roman" w:hAnsi="Times New Roman" w:eastAsia="黑体" w:cs="Times New Roman"/>
          <w:bCs/>
          <w:sz w:val="48"/>
          <w:szCs w:val="48"/>
        </w:rPr>
      </w:pPr>
      <w:r>
        <w:rPr>
          <w:rFonts w:ascii="Times New Roman" w:hAnsi="Times New Roman" w:eastAsia="黑体" w:cs="Times New Roman"/>
          <w:bCs/>
          <w:sz w:val="48"/>
          <w:szCs w:val="48"/>
        </w:rPr>
        <w:t>绿色食品</w:t>
      </w:r>
      <w:r>
        <w:rPr>
          <w:rFonts w:hint="eastAsia" w:ascii="Times New Roman" w:hAnsi="Times New Roman" w:eastAsia="黑体" w:cs="Times New Roman"/>
          <w:bCs/>
          <w:sz w:val="48"/>
          <w:szCs w:val="48"/>
        </w:rPr>
        <w:t xml:space="preserve">  黄淮海中部</w:t>
      </w:r>
      <w:r>
        <w:rPr>
          <w:rFonts w:ascii="Times New Roman" w:hAnsi="Times New Roman" w:eastAsia="黑体" w:cs="Times New Roman"/>
          <w:bCs/>
          <w:sz w:val="48"/>
          <w:szCs w:val="48"/>
        </w:rPr>
        <w:t>地区小麦生产操作规程</w:t>
      </w:r>
    </w:p>
    <w:p w14:paraId="7A61EA8C">
      <w:pPr>
        <w:framePr w:w="9639" w:h="6974" w:hRule="exact" w:wrap="around" w:vAnchor="page" w:hAnchor="page" w:x="1419" w:y="6408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  <w:r>
        <w:rPr>
          <w:rFonts w:ascii="宋体" w:hAnsi="宋体" w:cs="宋体"/>
          <w:color w:val="000000"/>
        </w:rPr>
        <w:t>Green food</w:t>
      </w:r>
      <w:r>
        <w:rPr>
          <w:rFonts w:hint="eastAsia" w:ascii="宋体" w:hAnsi="宋体" w:cs="宋体"/>
          <w:color w:val="000000"/>
        </w:rPr>
        <w:t xml:space="preserve">  Central Huang-Huai-Hai Region</w:t>
      </w:r>
      <w:r>
        <w:rPr>
          <w:rFonts w:ascii="宋体" w:hAnsi="宋体" w:cs="宋体"/>
          <w:color w:val="000000"/>
        </w:rPr>
        <w:t xml:space="preserve"> Operation Procedures</w:t>
      </w:r>
      <w:r>
        <w:rPr>
          <w:rFonts w:hint="eastAsia" w:ascii="宋体" w:hAnsi="宋体" w:cs="宋体"/>
          <w:color w:val="000000"/>
        </w:rPr>
        <w:t xml:space="preserve"> for</w:t>
      </w:r>
      <w:r>
        <w:rPr>
          <w:rFonts w:ascii="宋体" w:hAnsi="宋体" w:cs="宋体"/>
          <w:color w:val="000000"/>
        </w:rPr>
        <w:t xml:space="preserve"> </w:t>
      </w:r>
      <w:r>
        <w:rPr>
          <w:rFonts w:hint="eastAsia" w:ascii="宋体" w:hAnsi="宋体" w:cs="宋体"/>
          <w:color w:val="000000"/>
        </w:rPr>
        <w:t>Wheat Production</w:t>
      </w:r>
    </w:p>
    <w:p w14:paraId="27726280">
      <w:pPr>
        <w:pStyle w:val="19"/>
        <w:framePr w:wrap="around"/>
        <w:rPr>
          <w:rFonts w:hint="default"/>
        </w:rPr>
      </w:pPr>
    </w:p>
    <w:p w14:paraId="56E45A33">
      <w:pPr>
        <w:pStyle w:val="19"/>
        <w:framePr w:wrap="around"/>
        <w:rPr>
          <w:rFonts w:hint="eastAsia" w:eastAsia="黑体"/>
          <w:sz w:val="36"/>
          <w:szCs w:val="22"/>
          <w:lang w:eastAsia="zh-CN"/>
        </w:rPr>
      </w:pPr>
      <w:r>
        <w:rPr>
          <w:rFonts w:hint="eastAsia"/>
          <w:sz w:val="36"/>
          <w:szCs w:val="22"/>
          <w:lang w:eastAsia="zh-CN"/>
        </w:rPr>
        <w:t>（</w:t>
      </w:r>
      <w:r>
        <w:rPr>
          <w:rFonts w:hint="eastAsia"/>
          <w:sz w:val="36"/>
          <w:szCs w:val="22"/>
          <w:lang w:val="en-US" w:eastAsia="zh-CN"/>
        </w:rPr>
        <w:t>征求意见稿</w:t>
      </w:r>
      <w:r>
        <w:rPr>
          <w:rFonts w:hint="eastAsia"/>
          <w:sz w:val="36"/>
          <w:szCs w:val="22"/>
          <w:lang w:eastAsia="zh-CN"/>
        </w:rPr>
        <w:t>）</w:t>
      </w:r>
    </w:p>
    <w:tbl>
      <w:tblPr>
        <w:tblStyle w:val="9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7369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34C98484">
            <w:pPr>
              <w:pStyle w:val="16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202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575C23DB">
            <w:pPr>
              <w:pStyle w:val="16"/>
              <w:framePr w:wrap="around"/>
              <w:ind w:right="1120"/>
              <w:jc w:val="right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 xml:space="preserve">    202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 w:eastAsia="宋体"/>
              </w:rPr>
              <w:t>–</w:t>
            </w:r>
            <w:r>
              <w:rPr>
                <w:rFonts w:hint="default" w:ascii="Times New Roman"/>
              </w:rPr>
              <w:t xml:space="preserve">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- </w:t>
            </w:r>
            <w:r>
              <w:rPr>
                <w:rFonts w:hint="default" w:asci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×</w:t>
            </w:r>
            <w:r>
              <w:rPr>
                <w:rFonts w:hint="default" w:ascii="Times New Roman"/>
              </w:rPr>
              <w:t xml:space="preserve"> 实施</w:t>
            </w:r>
          </w:p>
        </w:tc>
      </w:tr>
    </w:tbl>
    <w:p w14:paraId="2B2D1645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Times New Roman" w:hAnsi="Times New Roman" w:eastAsia="黑体" w:cs="Times New Roman"/>
          <w:kern w:val="0"/>
          <w:sz w:val="44"/>
          <w:szCs w:val="44"/>
        </w:rPr>
        <w:t xml:space="preserve">   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发布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5699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0F88B4FE">
            <w:pPr>
              <w:pStyle w:val="20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ICS</w:t>
            </w:r>
          </w:p>
        </w:tc>
        <w:tc>
          <w:tcPr>
            <w:tcW w:w="9107" w:type="dxa"/>
            <w:gridSpan w:val="2"/>
          </w:tcPr>
          <w:p w14:paraId="758893EF">
            <w:pPr>
              <w:pStyle w:val="20"/>
              <w:framePr w:wrap="around"/>
              <w:rPr>
                <w:rFonts w:hint="default" w:ascii="Times New Roman"/>
              </w:rPr>
            </w:pPr>
          </w:p>
        </w:tc>
      </w:tr>
      <w:tr w14:paraId="07B8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21D1E2E4">
            <w:pPr>
              <w:pStyle w:val="20"/>
              <w:framePr w:wrap="around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CCS</w:t>
            </w:r>
          </w:p>
        </w:tc>
        <w:tc>
          <w:tcPr>
            <w:tcW w:w="9107" w:type="dxa"/>
            <w:gridSpan w:val="2"/>
          </w:tcPr>
          <w:tbl>
            <w:tblPr>
              <w:tblStyle w:val="9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21D75F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250FE48B">
                  <w:pPr>
                    <w:pStyle w:val="20"/>
                    <w:framePr w:wrap="around"/>
                    <w:ind w:firstLine="2764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ascii="Times New Roman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0920305A">
            <w:pPr>
              <w:pStyle w:val="20"/>
              <w:framePr w:wrap="around"/>
              <w:rPr>
                <w:rFonts w:hint="default" w:ascii="Times New Roman"/>
              </w:rPr>
            </w:pPr>
          </w:p>
        </w:tc>
      </w:tr>
      <w:tr w14:paraId="2798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298BFAC2">
            <w:pPr>
              <w:pStyle w:val="24"/>
              <w:framePr w:wrap="around"/>
              <w:rPr>
                <w:rFonts w:ascii="Times New Roman"/>
                <w:szCs w:val="21"/>
              </w:rPr>
            </w:pPr>
            <w:r>
              <w:rPr>
                <w:rFonts w:ascii="Times New Roman"/>
              </w:rPr>
              <w:t>中国绿色食品协会团体标准</w:t>
            </w:r>
          </w:p>
        </w:tc>
      </w:tr>
    </w:tbl>
    <w:p w14:paraId="7B0B08CD">
      <w:pPr>
        <w:rPr>
          <w:rFonts w:ascii="Times New Roman" w:hAnsi="Times New Roman" w:cs="Times New Roman"/>
        </w:rPr>
      </w:pPr>
    </w:p>
    <w:p w14:paraId="5832EBE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0E03EE">
      <w:pPr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85D2F6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前言</w:t>
      </w:r>
    </w:p>
    <w:p w14:paraId="4D70C1E2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rFonts w:eastAsia="黑体"/>
          <w:color w:val="000000"/>
          <w:sz w:val="32"/>
          <w:szCs w:val="32"/>
        </w:rPr>
      </w:pPr>
    </w:p>
    <w:p w14:paraId="5112BAD8"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本文件按照GB/T 1.1-2020《标准化工作导则 第1部分：标准化文件的结构和起草规则》的规则起草。</w:t>
      </w:r>
    </w:p>
    <w:p w14:paraId="1AD10B67"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本文件由中国绿色食品发展中心提出。</w:t>
      </w:r>
    </w:p>
    <w:p w14:paraId="3200DF36"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本文件由中国绿色食品协会归口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267B7DD4">
      <w:pPr>
        <w:spacing w:line="360" w:lineRule="auto"/>
        <w:ind w:firstLine="42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本标准起草单位：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*</w:t>
      </w:r>
      <w:bookmarkStart w:id="0" w:name="_GoBack"/>
      <w:bookmarkEnd w:id="0"/>
    </w:p>
    <w:p w14:paraId="58477524">
      <w:pPr>
        <w:spacing w:before="156" w:beforeLines="50" w:after="156" w:afterLines="50" w:line="400" w:lineRule="atLeast"/>
        <w:ind w:firstLine="420" w:firstLineChars="200"/>
        <w:contextualSpacing/>
        <w:jc w:val="left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本标准主要起草人：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*</w:t>
      </w:r>
    </w:p>
    <w:p w14:paraId="03817E88"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本文件为首次发布。</w:t>
      </w:r>
    </w:p>
    <w:p w14:paraId="536407B5">
      <w:pPr>
        <w:pStyle w:val="35"/>
        <w:spacing w:before="156" w:beforeLines="50" w:after="156" w:afterLines="50" w:line="400" w:lineRule="atLeast"/>
        <w:ind w:firstLine="560"/>
        <w:jc w:val="left"/>
        <w:rPr>
          <w:color w:val="000000"/>
          <w:sz w:val="28"/>
          <w:szCs w:val="28"/>
        </w:rPr>
      </w:pPr>
    </w:p>
    <w:p w14:paraId="23FE1115">
      <w:pPr>
        <w:pStyle w:val="35"/>
        <w:spacing w:before="156" w:beforeLines="50" w:after="156" w:afterLines="50" w:line="400" w:lineRule="atLeast"/>
        <w:ind w:firstLine="361"/>
        <w:jc w:val="left"/>
        <w:rPr>
          <w:b/>
          <w:bCs/>
          <w:color w:val="000000"/>
          <w:sz w:val="18"/>
          <w:szCs w:val="18"/>
        </w:rPr>
      </w:pPr>
    </w:p>
    <w:p w14:paraId="132D59E7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20C6C03F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5007A29D">
      <w:pPr>
        <w:pStyle w:val="35"/>
        <w:spacing w:before="156" w:beforeLines="50" w:after="156" w:afterLines="50" w:line="400" w:lineRule="atLeast"/>
        <w:ind w:left="357" w:firstLine="0" w:firstLineChars="0"/>
        <w:jc w:val="center"/>
        <w:rPr>
          <w:b/>
          <w:bCs/>
          <w:color w:val="000000"/>
          <w:sz w:val="36"/>
          <w:szCs w:val="36"/>
        </w:rPr>
      </w:pPr>
    </w:p>
    <w:p w14:paraId="328D1BCD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3EE4C48C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67EED0A6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73FB2E02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4306E8A1">
      <w:pPr>
        <w:pStyle w:val="35"/>
        <w:spacing w:before="156" w:beforeLines="50" w:after="156" w:afterLines="50" w:line="400" w:lineRule="atLeast"/>
        <w:ind w:firstLine="0" w:firstLineChars="0"/>
        <w:rPr>
          <w:b/>
          <w:bCs/>
          <w:color w:val="000000"/>
          <w:sz w:val="36"/>
          <w:szCs w:val="36"/>
        </w:rPr>
      </w:pPr>
    </w:p>
    <w:p w14:paraId="675CD059">
      <w:pPr>
        <w:widowControl/>
        <w:jc w:val="left"/>
        <w:rPr>
          <w:rFonts w:ascii="黑体" w:hAnsi="宋体" w:eastAsia="黑体"/>
          <w:color w:val="000000"/>
          <w:sz w:val="32"/>
          <w:szCs w:val="32"/>
        </w:rPr>
      </w:pPr>
      <w:r>
        <w:rPr>
          <w:rFonts w:ascii="黑体" w:hAnsi="宋体" w:eastAsia="黑体"/>
          <w:color w:val="000000"/>
          <w:sz w:val="32"/>
          <w:szCs w:val="32"/>
        </w:rPr>
        <w:br w:type="page"/>
      </w:r>
    </w:p>
    <w:p w14:paraId="4C33E3F8">
      <w:pPr>
        <w:spacing w:line="360" w:lineRule="auto"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绿色食品</w:t>
      </w:r>
    </w:p>
    <w:p w14:paraId="1C3A8721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黄淮海中部地区小麦生产操作规程</w:t>
      </w:r>
    </w:p>
    <w:p w14:paraId="7FC978DF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1  </w:t>
      </w:r>
      <w:r>
        <w:rPr>
          <w:rFonts w:hint="eastAsia" w:ascii="黑体" w:hAnsi="宋体" w:eastAsia="黑体" w:cs="Times New Roman"/>
          <w:color w:val="000000"/>
          <w:szCs w:val="21"/>
        </w:rPr>
        <w:t>范围</w:t>
      </w:r>
    </w:p>
    <w:p w14:paraId="7BFC0697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本规程规定了黄淮海中部地区绿色食品小麦的产地环境、品种选择、整地播种、田间管理、收获与储藏、包装与运输、</w:t>
      </w:r>
      <w:r>
        <w:rPr>
          <w:rFonts w:ascii="Times New Roman" w:hAnsi="Times New Roman" w:eastAsia="宋体" w:cs="Times New Roman"/>
          <w:szCs w:val="21"/>
        </w:rPr>
        <w:t>生产废弃物处理</w:t>
      </w:r>
      <w:r>
        <w:rPr>
          <w:rFonts w:hint="eastAsia" w:ascii="Times New Roman" w:hAnsi="Times New Roman" w:eastAsia="宋体" w:cs="Times New Roman"/>
          <w:szCs w:val="21"/>
        </w:rPr>
        <w:t>和建立</w:t>
      </w:r>
      <w:r>
        <w:rPr>
          <w:rFonts w:ascii="Times New Roman" w:hAnsi="Times New Roman" w:eastAsia="宋体" w:cs="Times New Roman"/>
          <w:szCs w:val="21"/>
        </w:rPr>
        <w:t>生产技术档案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E8CC5E1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本规程适用于河南省、湖北省绿色食品小麦生产。</w:t>
      </w:r>
    </w:p>
    <w:p w14:paraId="6E518B11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2  </w:t>
      </w:r>
      <w:r>
        <w:rPr>
          <w:rFonts w:hint="eastAsia" w:ascii="黑体" w:hAnsi="宋体" w:eastAsia="黑体" w:cs="Times New Roman"/>
          <w:color w:val="000000"/>
          <w:szCs w:val="21"/>
        </w:rPr>
        <w:t>规范性引用文件</w:t>
      </w:r>
    </w:p>
    <w:p w14:paraId="6B50F92C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3B57B402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GB 4401.1  粮食作物种子第一部分：禾谷类</w:t>
      </w:r>
    </w:p>
    <w:p w14:paraId="092D4B2E">
      <w:pPr>
        <w:autoSpaceDE w:val="0"/>
        <w:autoSpaceDN w:val="0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GB 1351   小麦</w:t>
      </w:r>
    </w:p>
    <w:p w14:paraId="3ABA09E5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NY/T 391  </w:t>
      </w:r>
      <w:r>
        <w:rPr>
          <w:rFonts w:hint="eastAsia" w:ascii="Times New Roman" w:hAnsi="Times New Roman" w:eastAsia="宋体" w:cs="Times New Roman"/>
          <w:szCs w:val="21"/>
        </w:rPr>
        <w:t>绿色食品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产地环境质量</w:t>
      </w:r>
    </w:p>
    <w:p w14:paraId="20847832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NY/T 393  </w:t>
      </w:r>
      <w:r>
        <w:rPr>
          <w:rFonts w:hint="eastAsia" w:ascii="Times New Roman" w:hAnsi="Times New Roman" w:eastAsia="宋体" w:cs="Times New Roman"/>
          <w:szCs w:val="21"/>
        </w:rPr>
        <w:t>绿色食品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农药使用准则</w:t>
      </w:r>
    </w:p>
    <w:p w14:paraId="7CCD6C01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NY/T 394  </w:t>
      </w:r>
      <w:r>
        <w:rPr>
          <w:rFonts w:hint="eastAsia" w:ascii="Times New Roman" w:hAnsi="Times New Roman" w:eastAsia="宋体" w:cs="Times New Roman"/>
          <w:szCs w:val="21"/>
        </w:rPr>
        <w:t>绿色食品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肥料使用准则</w:t>
      </w:r>
    </w:p>
    <w:p w14:paraId="525582D2">
      <w:pPr>
        <w:autoSpaceDE w:val="0"/>
        <w:autoSpaceDN w:val="0"/>
        <w:spacing w:before="50" w:after="50" w:line="400" w:lineRule="exact"/>
        <w:ind w:firstLine="420" w:firstLineChars="200"/>
        <w:jc w:val="left"/>
        <w:rPr>
          <w:rFonts w:ascii="宋体" w:hAnsi="Times New Roman" w:eastAsia="宋体" w:cs="Times New Roman"/>
          <w:color w:val="000000"/>
          <w:sz w:val="22"/>
        </w:rPr>
      </w:pPr>
      <w:r>
        <w:rPr>
          <w:rFonts w:ascii="Times New Roman" w:hAnsi="Times New Roman" w:eastAsia="宋体" w:cs="Times New Roman"/>
          <w:kern w:val="0"/>
          <w:szCs w:val="21"/>
        </w:rPr>
        <w:t>NY/T 496</w:t>
      </w:r>
      <w:r>
        <w:rPr>
          <w:rFonts w:hint="eastAsia" w:ascii="宋体" w:hAnsi="Times New Roman" w:eastAsia="宋体" w:cs="Times New Roman"/>
          <w:color w:val="000000"/>
          <w:sz w:val="22"/>
        </w:rPr>
        <w:t xml:space="preserve">  </w:t>
      </w:r>
      <w:r>
        <w:rPr>
          <w:rFonts w:ascii="Times New Roman" w:hAnsi="Times New Roman" w:eastAsia="宋体" w:cs="Times New Roman"/>
          <w:kern w:val="0"/>
          <w:szCs w:val="21"/>
        </w:rPr>
        <w:t>肥料合理使用准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则 </w:t>
      </w:r>
      <w:r>
        <w:rPr>
          <w:rFonts w:ascii="Times New Roman" w:hAnsi="Times New Roman" w:eastAsia="宋体" w:cs="Times New Roman"/>
          <w:kern w:val="0"/>
          <w:szCs w:val="21"/>
        </w:rPr>
        <w:t>通则</w:t>
      </w:r>
    </w:p>
    <w:p w14:paraId="3C0826BD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</w:t>
      </w:r>
      <w:r>
        <w:rPr>
          <w:rFonts w:hint="eastAsia" w:ascii="Times New Roman" w:hAnsi="Times New Roman" w:eastAsia="宋体" w:cs="Times New Roman"/>
          <w:szCs w:val="21"/>
        </w:rPr>
        <w:t>/T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525  有机肥料</w:t>
      </w:r>
    </w:p>
    <w:p w14:paraId="03040AB2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NY/T 658  </w:t>
      </w:r>
      <w:r>
        <w:rPr>
          <w:rFonts w:hint="eastAsia" w:ascii="Times New Roman" w:hAnsi="Times New Roman" w:eastAsia="宋体" w:cs="Times New Roman"/>
          <w:szCs w:val="21"/>
        </w:rPr>
        <w:t>绿色食品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包装通用准则</w:t>
      </w:r>
    </w:p>
    <w:p w14:paraId="6D33DF55">
      <w:pPr>
        <w:snapToGrid w:val="0"/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NY/T 1056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绿色食品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储藏运输准则</w:t>
      </w:r>
    </w:p>
    <w:p w14:paraId="7A9CAE7A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3  </w:t>
      </w:r>
      <w:r>
        <w:rPr>
          <w:rFonts w:hint="eastAsia" w:ascii="黑体" w:hAnsi="宋体" w:eastAsia="黑体" w:cs="Times New Roman"/>
          <w:color w:val="000000"/>
          <w:szCs w:val="21"/>
        </w:rPr>
        <w:t>产地环境</w:t>
      </w:r>
    </w:p>
    <w:p w14:paraId="12131D97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3.1 生态环境</w:t>
      </w:r>
    </w:p>
    <w:p w14:paraId="69F2D8EE">
      <w:pPr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生产基地应</w:t>
      </w:r>
      <w:r>
        <w:rPr>
          <w:rFonts w:hint="eastAsia" w:ascii="Times New Roman" w:hAnsi="Times New Roman" w:eastAsia="宋体" w:cs="Times New Roman"/>
          <w:szCs w:val="21"/>
        </w:rPr>
        <w:t>远离工矿区和公路、铁路干线，避开工业和城市污染的影响，选择在无污染、无疫病和生态条件良好的地区。产地环境应符合</w:t>
      </w:r>
      <w:r>
        <w:rPr>
          <w:rFonts w:ascii="Times New Roman" w:hAnsi="Times New Roman" w:eastAsia="黑体" w:cs="Times New Roman"/>
          <w:szCs w:val="21"/>
        </w:rPr>
        <w:t>NY/T 391</w:t>
      </w:r>
      <w:r>
        <w:rPr>
          <w:rFonts w:hint="eastAsia" w:ascii="Times New Roman" w:hAnsi="Times New Roman" w:eastAsia="宋体" w:cs="Times New Roman"/>
          <w:szCs w:val="21"/>
        </w:rPr>
        <w:t>的规定。</w:t>
      </w:r>
    </w:p>
    <w:p w14:paraId="058CB17D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在绿色食品和常规生产区域之间设置有效的缓冲带或依托自然屏障。</w:t>
      </w:r>
    </w:p>
    <w:p w14:paraId="2E7C3DA6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3.2 土壤条件</w:t>
      </w:r>
    </w:p>
    <w:p w14:paraId="5F0A2D2D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基地土壤肥沃，土层深厚，土壤耕层</w:t>
      </w:r>
      <w:r>
        <w:rPr>
          <w:rFonts w:ascii="宋体" w:hAnsi="宋体" w:eastAsia="宋体" w:cs="Times New Roman"/>
          <w:kern w:val="0"/>
          <w:szCs w:val="21"/>
        </w:rPr>
        <w:t>0</w:t>
      </w:r>
      <w:r>
        <w:rPr>
          <w:rFonts w:hint="eastAsia" w:ascii="宋体" w:hAnsi="宋体" w:eastAsia="宋体" w:cs="Times New Roman"/>
          <w:kern w:val="0"/>
          <w:szCs w:val="21"/>
        </w:rPr>
        <w:t>cm</w:t>
      </w:r>
      <w:r>
        <w:rPr>
          <w:rFonts w:ascii="宋体" w:hAnsi="宋体" w:eastAsia="宋体" w:cs="Times New Roman"/>
          <w:kern w:val="0"/>
          <w:szCs w:val="21"/>
        </w:rPr>
        <w:t>～20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宋体" w:hAnsi="宋体" w:eastAsia="宋体" w:cs="Times New Roman"/>
          <w:kern w:val="0"/>
          <w:szCs w:val="21"/>
        </w:rPr>
        <w:t>cm</w:t>
      </w:r>
      <w:r>
        <w:rPr>
          <w:rFonts w:hint="eastAsia" w:ascii="宋体" w:hAnsi="宋体" w:eastAsia="宋体" w:cs="Times New Roman"/>
          <w:kern w:val="0"/>
          <w:szCs w:val="21"/>
        </w:rPr>
        <w:t>,有机质含量</w:t>
      </w:r>
      <w:r>
        <w:rPr>
          <w:rFonts w:ascii="宋体" w:hAnsi="宋体" w:eastAsia="宋体" w:cs="Times New Roman"/>
          <w:kern w:val="0"/>
          <w:szCs w:val="21"/>
        </w:rPr>
        <w:t>≥</w:t>
      </w:r>
      <w:r>
        <w:rPr>
          <w:rFonts w:hint="eastAsia" w:ascii="宋体" w:hAnsi="宋体" w:eastAsia="宋体" w:cs="Times New Roman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0</w:t>
      </w:r>
      <w:r>
        <w:rPr>
          <w:rFonts w:ascii="Times New Roman" w:hAnsi="Times New Roman" w:eastAsia="宋体" w:cs="Times New Roman"/>
          <w:kern w:val="0"/>
          <w:szCs w:val="21"/>
        </w:rPr>
        <w:t xml:space="preserve"> g/</w:t>
      </w:r>
      <w:r>
        <w:rPr>
          <w:rFonts w:ascii="Times New Roman" w:hAnsi="宋体" w:eastAsia="宋体" w:cs="Times New Roman"/>
          <w:kern w:val="0"/>
          <w:szCs w:val="21"/>
        </w:rPr>
        <w:t>㎏</w:t>
      </w:r>
      <w:r>
        <w:rPr>
          <w:rFonts w:hint="eastAsia" w:ascii="宋体" w:hAnsi="宋体" w:eastAsia="宋体" w:cs="Times New Roman"/>
          <w:kern w:val="0"/>
          <w:szCs w:val="21"/>
        </w:rPr>
        <w:t>，全氮（N）含量</w:t>
      </w:r>
      <w:r>
        <w:rPr>
          <w:rFonts w:ascii="宋体" w:hAnsi="宋体" w:eastAsia="宋体" w:cs="Times New Roman"/>
          <w:kern w:val="0"/>
          <w:szCs w:val="21"/>
        </w:rPr>
        <w:t>≥</w:t>
      </w:r>
      <w:r>
        <w:rPr>
          <w:rFonts w:hint="eastAsia" w:ascii="宋体" w:hAnsi="宋体" w:eastAsia="宋体" w:cs="Times New Roman"/>
          <w:kern w:val="0"/>
          <w:szCs w:val="21"/>
        </w:rPr>
        <w:t xml:space="preserve">0.8 </w:t>
      </w:r>
      <w:r>
        <w:rPr>
          <w:rFonts w:ascii="宋体" w:hAnsi="宋体" w:eastAsia="宋体" w:cs="Times New Roman"/>
          <w:kern w:val="0"/>
          <w:szCs w:val="21"/>
        </w:rPr>
        <w:t>g/㎏</w:t>
      </w:r>
      <w:r>
        <w:rPr>
          <w:rFonts w:hint="eastAsia" w:ascii="宋体" w:hAnsi="宋体" w:eastAsia="宋体" w:cs="Times New Roman"/>
          <w:kern w:val="0"/>
          <w:szCs w:val="21"/>
        </w:rPr>
        <w:t>，有效磷（</w:t>
      </w:r>
      <w:r>
        <w:rPr>
          <w:rFonts w:ascii="宋体" w:hAnsi="宋体" w:eastAsia="宋体" w:cs="Times New Roman"/>
          <w:kern w:val="0"/>
          <w:szCs w:val="21"/>
        </w:rPr>
        <w:t>P</w:t>
      </w:r>
      <w:r>
        <w:rPr>
          <w:rFonts w:ascii="宋体" w:hAnsi="宋体" w:eastAsia="宋体" w:cs="Times New Roman"/>
          <w:kern w:val="0"/>
          <w:szCs w:val="21"/>
          <w:vertAlign w:val="subscript"/>
        </w:rPr>
        <w:t>2</w:t>
      </w:r>
      <w:r>
        <w:rPr>
          <w:rFonts w:ascii="宋体" w:hAnsi="宋体" w:eastAsia="宋体" w:cs="Times New Roman"/>
          <w:kern w:val="0"/>
          <w:szCs w:val="21"/>
        </w:rPr>
        <w:t>O</w:t>
      </w:r>
      <w:r>
        <w:rPr>
          <w:rFonts w:ascii="宋体" w:hAnsi="宋体" w:eastAsia="宋体" w:cs="Times New Roman"/>
          <w:kern w:val="0"/>
          <w:szCs w:val="21"/>
          <w:vertAlign w:val="subscript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）含量</w:t>
      </w:r>
      <w:r>
        <w:rPr>
          <w:rFonts w:ascii="宋体" w:hAnsi="宋体" w:eastAsia="宋体" w:cs="Times New Roman"/>
          <w:kern w:val="0"/>
          <w:szCs w:val="21"/>
        </w:rPr>
        <w:t>≥</w:t>
      </w:r>
      <w:r>
        <w:rPr>
          <w:rFonts w:hint="eastAsia" w:ascii="宋体" w:hAnsi="宋体" w:eastAsia="宋体" w:cs="Times New Roman"/>
          <w:kern w:val="0"/>
          <w:szCs w:val="21"/>
        </w:rPr>
        <w:t xml:space="preserve">5 </w:t>
      </w:r>
      <w:r>
        <w:rPr>
          <w:rFonts w:ascii="宋体" w:hAnsi="宋体" w:eastAsia="宋体" w:cs="Times New Roman"/>
          <w:kern w:val="0"/>
          <w:szCs w:val="21"/>
        </w:rPr>
        <w:t>mg/㎏</w:t>
      </w:r>
      <w:r>
        <w:rPr>
          <w:rFonts w:hint="eastAsia" w:ascii="宋体" w:hAnsi="宋体" w:eastAsia="宋体" w:cs="Times New Roman"/>
          <w:kern w:val="0"/>
          <w:szCs w:val="21"/>
        </w:rPr>
        <w:t>，速效钾（</w:t>
      </w:r>
      <w:r>
        <w:rPr>
          <w:rFonts w:ascii="宋体" w:hAnsi="宋体" w:eastAsia="宋体" w:cs="Times New Roman"/>
          <w:kern w:val="0"/>
          <w:szCs w:val="21"/>
        </w:rPr>
        <w:t>K</w:t>
      </w:r>
      <w:r>
        <w:rPr>
          <w:rFonts w:ascii="宋体" w:hAnsi="宋体" w:eastAsia="宋体" w:cs="Times New Roman"/>
          <w:kern w:val="0"/>
          <w:szCs w:val="21"/>
          <w:vertAlign w:val="subscript"/>
        </w:rPr>
        <w:t>2</w:t>
      </w:r>
      <w:r>
        <w:rPr>
          <w:rFonts w:ascii="宋体" w:hAnsi="宋体" w:eastAsia="宋体" w:cs="Times New Roman"/>
          <w:kern w:val="0"/>
          <w:szCs w:val="21"/>
        </w:rPr>
        <w:t>O</w:t>
      </w:r>
      <w:r>
        <w:rPr>
          <w:rFonts w:hint="eastAsia" w:ascii="宋体" w:hAnsi="宋体" w:eastAsia="宋体" w:cs="Times New Roman"/>
          <w:kern w:val="0"/>
          <w:szCs w:val="21"/>
        </w:rPr>
        <w:t>）含量</w:t>
      </w:r>
      <w:r>
        <w:rPr>
          <w:rFonts w:ascii="宋体" w:hAnsi="宋体" w:eastAsia="宋体" w:cs="Times New Roman"/>
          <w:kern w:val="0"/>
          <w:szCs w:val="21"/>
        </w:rPr>
        <w:t>≥</w:t>
      </w:r>
      <w:r>
        <w:rPr>
          <w:rFonts w:hint="eastAsia" w:ascii="宋体" w:hAnsi="宋体" w:eastAsia="宋体" w:cs="Times New Roman"/>
          <w:kern w:val="0"/>
          <w:szCs w:val="21"/>
        </w:rPr>
        <w:t xml:space="preserve">80 </w:t>
      </w:r>
      <w:r>
        <w:rPr>
          <w:rFonts w:ascii="宋体" w:hAnsi="宋体" w:eastAsia="宋体" w:cs="Times New Roman"/>
          <w:kern w:val="0"/>
          <w:szCs w:val="21"/>
        </w:rPr>
        <w:t>mg/㎏</w:t>
      </w:r>
      <w:r>
        <w:rPr>
          <w:rFonts w:hint="eastAsia" w:ascii="宋体" w:hAnsi="宋体" w:eastAsia="宋体" w:cs="Times New Roman"/>
          <w:kern w:val="0"/>
          <w:szCs w:val="21"/>
        </w:rPr>
        <w:t>。土壤质量应符合</w:t>
      </w:r>
      <w:r>
        <w:rPr>
          <w:rFonts w:ascii="宋体" w:hAnsi="宋体" w:eastAsia="宋体" w:cs="Times New Roman"/>
          <w:kern w:val="0"/>
          <w:szCs w:val="21"/>
        </w:rPr>
        <w:t>NY/T 391</w:t>
      </w:r>
      <w:r>
        <w:rPr>
          <w:rFonts w:hint="eastAsia" w:ascii="宋体" w:hAnsi="宋体" w:eastAsia="宋体" w:cs="Times New Roman"/>
          <w:kern w:val="0"/>
          <w:szCs w:val="21"/>
        </w:rPr>
        <w:t>的规定。</w:t>
      </w:r>
    </w:p>
    <w:p w14:paraId="3D3E59A6">
      <w:pPr>
        <w:snapToGrid w:val="0"/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3.3 水质条件</w:t>
      </w:r>
    </w:p>
    <w:p w14:paraId="5DD3C007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灌溉用水清洁、无污染，</w:t>
      </w:r>
      <w:r>
        <w:rPr>
          <w:rFonts w:hint="eastAsia" w:ascii="Times New Roman" w:hAnsi="Times New Roman" w:eastAsia="宋体" w:cs="Times New Roman"/>
          <w:szCs w:val="21"/>
        </w:rPr>
        <w:t>水质</w:t>
      </w:r>
      <w:r>
        <w:rPr>
          <w:rFonts w:hint="eastAsia" w:ascii="宋体" w:hAnsi="宋体" w:eastAsia="宋体" w:cs="Times New Roman"/>
          <w:kern w:val="0"/>
          <w:szCs w:val="21"/>
        </w:rPr>
        <w:t>符合</w:t>
      </w:r>
      <w:r>
        <w:rPr>
          <w:rFonts w:hint="eastAsia" w:ascii="Times New Roman" w:hAnsi="Times New Roman" w:eastAsia="宋体" w:cs="Times New Roman"/>
          <w:szCs w:val="21"/>
        </w:rPr>
        <w:t>NY/T 391的规定。</w:t>
      </w:r>
    </w:p>
    <w:p w14:paraId="0ABE0572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4  </w:t>
      </w:r>
      <w:r>
        <w:rPr>
          <w:rFonts w:hint="eastAsia" w:ascii="黑体" w:hAnsi="宋体" w:eastAsia="黑体" w:cs="Times New Roman"/>
          <w:color w:val="000000"/>
          <w:szCs w:val="21"/>
        </w:rPr>
        <w:t>品种选择</w:t>
      </w:r>
    </w:p>
    <w:p w14:paraId="09204AB4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4.1 </w:t>
      </w:r>
      <w:r>
        <w:rPr>
          <w:rFonts w:hint="eastAsia" w:ascii="黑体" w:hAnsi="宋体" w:eastAsia="黑体" w:cs="Times New Roman"/>
          <w:color w:val="000000"/>
          <w:szCs w:val="21"/>
        </w:rPr>
        <w:t>选择原则</w:t>
      </w:r>
    </w:p>
    <w:p w14:paraId="779E20C2">
      <w:pPr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选用通过属地省级或全国农作物品种审定委员会审定品种，且适宜黄淮海中部地区种植的高产、稳产、优质、抗逆性强的半冬性或弱春性小麦品种。种子纯度</w:t>
      </w:r>
      <w:r>
        <w:rPr>
          <w:rFonts w:hint="eastAsia" w:ascii="宋体" w:hAnsi="宋体" w:eastAsia="宋体" w:cs="Times New Roman"/>
          <w:szCs w:val="21"/>
        </w:rPr>
        <w:t>≧</w:t>
      </w:r>
      <w:r>
        <w:rPr>
          <w:rFonts w:hint="eastAsia" w:ascii="Times New Roman" w:hAnsi="Times New Roman" w:eastAsia="宋体" w:cs="Times New Roman"/>
          <w:szCs w:val="21"/>
        </w:rPr>
        <w:t>99.0%，净度</w:t>
      </w:r>
      <w:r>
        <w:rPr>
          <w:rFonts w:hint="eastAsia" w:ascii="宋体" w:hAnsi="宋体" w:eastAsia="宋体" w:cs="Times New Roman"/>
          <w:szCs w:val="21"/>
        </w:rPr>
        <w:t>≧</w:t>
      </w:r>
      <w:r>
        <w:rPr>
          <w:rFonts w:hint="eastAsia" w:ascii="Times New Roman" w:hAnsi="Times New Roman" w:eastAsia="宋体" w:cs="Times New Roman"/>
          <w:szCs w:val="21"/>
        </w:rPr>
        <w:t>99.0%，发芽率</w:t>
      </w:r>
      <w:r>
        <w:rPr>
          <w:rFonts w:hint="eastAsia" w:ascii="宋体" w:hAnsi="宋体" w:eastAsia="宋体" w:cs="Times New Roman"/>
          <w:szCs w:val="21"/>
        </w:rPr>
        <w:t>≥</w:t>
      </w:r>
      <w:r>
        <w:rPr>
          <w:rFonts w:hint="eastAsia" w:ascii="Times New Roman" w:hAnsi="Times New Roman" w:eastAsia="宋体" w:cs="Times New Roman"/>
          <w:szCs w:val="21"/>
        </w:rPr>
        <w:t>85%，水分≤13.0%。</w:t>
      </w:r>
    </w:p>
    <w:p w14:paraId="1EDFD2A2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4.</w:t>
      </w:r>
      <w:r>
        <w:rPr>
          <w:rFonts w:hint="eastAsia" w:ascii="黑体" w:hAnsi="宋体" w:eastAsia="黑体" w:cs="Times New Roman"/>
          <w:color w:val="000000"/>
          <w:szCs w:val="21"/>
        </w:rPr>
        <w:t>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品种选用</w:t>
      </w:r>
    </w:p>
    <w:p w14:paraId="38E34F5A">
      <w:pPr>
        <w:autoSpaceDE w:val="0"/>
        <w:autoSpaceDN w:val="0"/>
        <w:spacing w:line="44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河南省可选用郑麦366、新麦26、西农979、郑麦7698、郑麦583等优质强筋小麦品种，百农207、周麦27、百农AK58、周麦22、LK198、衡观35、丰德存麦1号等优质中筋小麦品种；湖北省可选用郑麦9023、西农979、衡观35、襄麦55、鄂麦25、襄麦35、先麦8号、扬麦158等高产、稳产、抗逆性强的小麦品种。同时可参考河南省、湖北省农业行政主管部门当年发布的秋播主要农作物主导品种公告。</w:t>
      </w:r>
    </w:p>
    <w:p w14:paraId="736F874B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4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种子处理</w:t>
      </w:r>
    </w:p>
    <w:p w14:paraId="7C09A23C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播种前对种子进行筛选、晒种、拌种。</w:t>
      </w:r>
    </w:p>
    <w:p w14:paraId="62A7E08E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 xml:space="preserve">4.3.1 </w:t>
      </w:r>
      <w:r>
        <w:rPr>
          <w:rFonts w:hint="eastAsia" w:ascii="黑体" w:hAnsi="宋体" w:eastAsia="黑体" w:cs="Times New Roman"/>
          <w:color w:val="000000"/>
          <w:szCs w:val="21"/>
        </w:rPr>
        <w:t>筛选</w:t>
      </w:r>
    </w:p>
    <w:p w14:paraId="6F1BB8F1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选择籽粒饱满，大小均匀的种子。</w:t>
      </w:r>
    </w:p>
    <w:p w14:paraId="5DA61AAF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 xml:space="preserve">4.3.2 </w:t>
      </w:r>
      <w:r>
        <w:rPr>
          <w:rFonts w:hint="eastAsia" w:ascii="黑体" w:hAnsi="宋体" w:eastAsia="黑体" w:cs="Times New Roman"/>
          <w:color w:val="000000"/>
          <w:szCs w:val="21"/>
        </w:rPr>
        <w:t>晒种</w:t>
      </w:r>
    </w:p>
    <w:p w14:paraId="2D5D5355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在小麦播种前10d～15 d，选择晴好天气连续晒种2d～3 d。</w:t>
      </w:r>
    </w:p>
    <w:p w14:paraId="547BA654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 xml:space="preserve">4.3.3 </w:t>
      </w:r>
      <w:r>
        <w:rPr>
          <w:rFonts w:hint="eastAsia" w:ascii="黑体" w:hAnsi="宋体" w:eastAsia="黑体" w:cs="Times New Roman"/>
          <w:color w:val="000000"/>
          <w:szCs w:val="21"/>
        </w:rPr>
        <w:t>拌种</w:t>
      </w:r>
    </w:p>
    <w:p w14:paraId="7B1F7FB5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根据不同防治对象确定药剂种类，宜选用吡虫啉悬浮剂或14%辛硫·三唑酮乳油进行拌种，充分搅拌均匀，晾干后即可播种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 w:ascii="Times New Roman" w:hAnsi="Times New Roman" w:eastAsia="宋体" w:cs="Times New Roman"/>
          <w:kern w:val="0"/>
          <w:szCs w:val="21"/>
        </w:rPr>
        <w:t>当日拌好的种子当日播完。具体用量详见附录A。</w:t>
      </w:r>
    </w:p>
    <w:p w14:paraId="5B209BA2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5  </w:t>
      </w:r>
      <w:r>
        <w:rPr>
          <w:rFonts w:hint="eastAsia" w:ascii="黑体" w:hAnsi="宋体" w:eastAsia="黑体" w:cs="Times New Roman"/>
          <w:color w:val="000000"/>
          <w:szCs w:val="21"/>
        </w:rPr>
        <w:t>整地播种</w:t>
      </w:r>
    </w:p>
    <w:p w14:paraId="328BFE73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 xml:space="preserve">5.1 </w:t>
      </w:r>
      <w:r>
        <w:rPr>
          <w:rFonts w:hint="eastAsia" w:ascii="黑体" w:hAnsi="宋体" w:eastAsia="黑体" w:cs="Times New Roman"/>
          <w:color w:val="000000"/>
          <w:szCs w:val="21"/>
        </w:rPr>
        <w:t>整地</w:t>
      </w:r>
    </w:p>
    <w:p w14:paraId="3F2C513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5.1</w:t>
      </w:r>
      <w:r>
        <w:rPr>
          <w:rFonts w:hint="eastAsia" w:ascii="黑体" w:hAnsi="宋体" w:eastAsia="黑体" w:cs="Times New Roman"/>
          <w:color w:val="000000"/>
          <w:szCs w:val="21"/>
        </w:rPr>
        <w:t>.1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整地原则</w:t>
      </w:r>
    </w:p>
    <w:p w14:paraId="77BED2F9">
      <w:pPr>
        <w:autoSpaceDE w:val="0"/>
        <w:autoSpaceDN w:val="0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整地应达到土壤细碎，地面平整，上虚下实。</w:t>
      </w:r>
    </w:p>
    <w:p w14:paraId="79035625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</w:t>
      </w:r>
      <w:r>
        <w:rPr>
          <w:rFonts w:hint="eastAsia" w:ascii="黑体" w:hAnsi="宋体" w:eastAsia="黑体" w:cs="Times New Roman"/>
          <w:color w:val="000000"/>
          <w:szCs w:val="21"/>
        </w:rPr>
        <w:t>1.2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整地方法</w:t>
      </w:r>
    </w:p>
    <w:p w14:paraId="41F071A3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前茬作物收获后，及时灭茬保墒，深耕25 cm～30cm，耕后耙细</w:t>
      </w:r>
      <w:r>
        <w:rPr>
          <w:rFonts w:ascii="Times New Roman" w:hAnsi="Times New Roman" w:eastAsia="宋体" w:cs="Times New Roman"/>
          <w:kern w:val="0"/>
          <w:szCs w:val="21"/>
        </w:rPr>
        <w:t>，耙后应及时镇压，达到上虚下实，地块平整，地表无大土块。</w:t>
      </w:r>
    </w:p>
    <w:p w14:paraId="7DD6D6C1">
      <w:pPr>
        <w:spacing w:before="156" w:beforeLines="50" w:after="156" w:afterLines="50" w:line="400" w:lineRule="exact"/>
        <w:ind w:firstLine="420" w:firstLineChars="200"/>
        <w:outlineLvl w:val="1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前茬为玉米的田块，利用玉米联合收获机械同步秸秆粉碎均匀还田，或用秸秆还田机粉碎</w:t>
      </w: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～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遍，均匀平铺，秸秆粉碎长度≤</w:t>
      </w:r>
      <w:r>
        <w:rPr>
          <w:rFonts w:ascii="Times New Roman" w:hAnsi="Times New Roman" w:eastAsia="宋体" w:cs="Times New Roman"/>
          <w:szCs w:val="21"/>
        </w:rPr>
        <w:t>5 cm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C617741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前茬为水稻的田块，在水稻收获前10d～15 d断水，起边沟，以利爽田。水稻收获后，当土壤含水量达田间最大持水量的70%～80%时适墒耕作。以机械耕翻为主，也可选用旋耕、浅耕或少免耕；对旋耕后的田块应进行一次耙地或镇压作业；多年采取少免耕或旋耕播种的田块，每3年～4年机械耕翻一次。</w:t>
      </w:r>
    </w:p>
    <w:p w14:paraId="67A5776C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</w:t>
      </w:r>
      <w:r>
        <w:rPr>
          <w:rFonts w:hint="eastAsia" w:ascii="黑体" w:hAnsi="宋体" w:eastAsia="黑体" w:cs="Times New Roman"/>
          <w:color w:val="000000"/>
          <w:szCs w:val="21"/>
        </w:rPr>
        <w:t>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播种</w:t>
      </w:r>
    </w:p>
    <w:p w14:paraId="0C97D47B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</w:t>
      </w:r>
      <w:r>
        <w:rPr>
          <w:rFonts w:hint="eastAsia" w:ascii="黑体" w:hAnsi="宋体" w:eastAsia="黑体" w:cs="Times New Roman"/>
          <w:color w:val="000000"/>
          <w:szCs w:val="21"/>
        </w:rPr>
        <w:t>2.1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播种期</w:t>
      </w:r>
    </w:p>
    <w:p w14:paraId="50F81246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黄淮海中部地区最佳播期：</w:t>
      </w:r>
      <w:r>
        <w:rPr>
          <w:rFonts w:hint="eastAsia" w:ascii="Times New Roman" w:hAnsi="Times New Roman" w:eastAsia="宋体" w:cs="Times New Roman"/>
          <w:szCs w:val="21"/>
        </w:rPr>
        <w:t>半冬性品种10月中旬，弱春性品种10月中下旬，黄淮海中部偏北和偏南区域小麦播期相应提前或推迟3d～5 d。</w:t>
      </w:r>
    </w:p>
    <w:p w14:paraId="615F709B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</w:t>
      </w:r>
      <w:r>
        <w:rPr>
          <w:rFonts w:hint="eastAsia" w:ascii="黑体" w:hAnsi="宋体" w:eastAsia="黑体" w:cs="Times New Roman"/>
          <w:color w:val="000000"/>
          <w:szCs w:val="21"/>
        </w:rPr>
        <w:t>2.2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播种量</w:t>
      </w:r>
    </w:p>
    <w:p w14:paraId="1AD2324D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适期播种范围内，早茬地种植</w:t>
      </w:r>
      <w:r>
        <w:rPr>
          <w:rFonts w:hint="eastAsia" w:ascii="Times New Roman" w:hAnsi="Times New Roman" w:eastAsia="宋体" w:cs="Times New Roman"/>
          <w:szCs w:val="21"/>
        </w:rPr>
        <w:t>半冬性品种，每亩</w:t>
      </w:r>
      <w:r>
        <w:rPr>
          <w:rFonts w:ascii="Times New Roman" w:hAnsi="Times New Roman" w:eastAsia="宋体" w:cs="Times New Roman"/>
          <w:szCs w:val="21"/>
        </w:rPr>
        <w:t>播量</w:t>
      </w:r>
      <w:r>
        <w:rPr>
          <w:rFonts w:hint="eastAsia" w:ascii="Times New Roman" w:hAnsi="Times New Roman" w:eastAsia="宋体" w:cs="Times New Roman"/>
          <w:szCs w:val="21"/>
        </w:rPr>
        <w:t>8 kg</w:t>
      </w:r>
      <w:r>
        <w:rPr>
          <w:rFonts w:ascii="Times New Roman" w:hAnsi="Times New Roman" w:eastAsia="宋体" w:cs="Times New Roman"/>
          <w:szCs w:val="21"/>
        </w:rPr>
        <w:t>～</w:t>
      </w:r>
      <w:r>
        <w:rPr>
          <w:rFonts w:hint="eastAsia" w:ascii="Times New Roman" w:hAnsi="Times New Roman" w:eastAsia="宋体" w:cs="Times New Roman"/>
          <w:szCs w:val="21"/>
        </w:rPr>
        <w:t>10 kg，每亩基本苗控制在15万株</w:t>
      </w:r>
      <w:r>
        <w:rPr>
          <w:rFonts w:ascii="Times New Roman" w:hAnsi="Times New Roman" w:eastAsia="宋体" w:cs="Times New Roman"/>
          <w:szCs w:val="21"/>
        </w:rPr>
        <w:t>～</w:t>
      </w:r>
      <w:r>
        <w:rPr>
          <w:rFonts w:hint="eastAsia" w:ascii="Times New Roman" w:hAnsi="Times New Roman" w:eastAsia="宋体" w:cs="Times New Roman"/>
          <w:szCs w:val="21"/>
        </w:rPr>
        <w:t>18万株</w:t>
      </w:r>
      <w:r>
        <w:rPr>
          <w:rFonts w:ascii="Times New Roman" w:hAnsi="Times New Roman" w:eastAsia="宋体" w:cs="Times New Roman"/>
          <w:szCs w:val="21"/>
        </w:rPr>
        <w:t>；中晚茬地种植</w:t>
      </w:r>
      <w:r>
        <w:rPr>
          <w:rFonts w:hint="eastAsia" w:ascii="Times New Roman" w:hAnsi="Times New Roman" w:eastAsia="宋体" w:cs="Times New Roman"/>
          <w:szCs w:val="21"/>
        </w:rPr>
        <w:t>弱春性</w:t>
      </w:r>
      <w:r>
        <w:rPr>
          <w:rFonts w:ascii="Times New Roman" w:hAnsi="Times New Roman" w:eastAsia="宋体" w:cs="Times New Roman"/>
          <w:szCs w:val="21"/>
        </w:rPr>
        <w:t>品种</w:t>
      </w:r>
      <w:r>
        <w:rPr>
          <w:rFonts w:hint="eastAsia" w:ascii="Times New Roman" w:hAnsi="Times New Roman" w:eastAsia="宋体" w:cs="Times New Roman"/>
          <w:szCs w:val="21"/>
        </w:rPr>
        <w:t>，每亩</w:t>
      </w:r>
      <w:r>
        <w:rPr>
          <w:rFonts w:ascii="Times New Roman" w:hAnsi="Times New Roman" w:eastAsia="宋体" w:cs="Times New Roman"/>
          <w:szCs w:val="21"/>
        </w:rPr>
        <w:t>播量</w:t>
      </w:r>
      <w:r>
        <w:rPr>
          <w:rFonts w:hint="eastAsia" w:ascii="Times New Roman" w:hAnsi="Times New Roman" w:eastAsia="宋体" w:cs="Times New Roman"/>
          <w:szCs w:val="21"/>
        </w:rPr>
        <w:t>10 kg</w:t>
      </w:r>
      <w:r>
        <w:rPr>
          <w:rFonts w:ascii="Times New Roman" w:hAnsi="Times New Roman" w:eastAsia="宋体" w:cs="Times New Roman"/>
          <w:szCs w:val="21"/>
        </w:rPr>
        <w:t>～</w:t>
      </w:r>
      <w:r>
        <w:rPr>
          <w:rFonts w:hint="eastAsia" w:ascii="Times New Roman" w:hAnsi="Times New Roman" w:eastAsia="宋体" w:cs="Times New Roman"/>
          <w:szCs w:val="21"/>
        </w:rPr>
        <w:t>12 kg，每亩基本苗控制在18万株</w:t>
      </w:r>
      <w:r>
        <w:rPr>
          <w:rFonts w:ascii="Times New Roman" w:hAnsi="Times New Roman" w:eastAsia="宋体" w:cs="Times New Roman"/>
          <w:szCs w:val="21"/>
        </w:rPr>
        <w:t>～</w:t>
      </w:r>
      <w:r>
        <w:rPr>
          <w:rFonts w:hint="eastAsia" w:ascii="Times New Roman" w:hAnsi="Times New Roman" w:eastAsia="宋体" w:cs="Times New Roman"/>
          <w:szCs w:val="21"/>
        </w:rPr>
        <w:t>20万株。若播期土壤</w:t>
      </w:r>
      <w:r>
        <w:rPr>
          <w:rFonts w:hint="eastAsia" w:ascii="宋体" w:hAnsi="宋体" w:eastAsia="宋体" w:cs="宋体"/>
          <w:szCs w:val="21"/>
        </w:rPr>
        <w:t>墒情较差、因灾延误播期或整地质量较差时，可适当增加播种量，但每亩播量最多不能超过</w:t>
      </w:r>
      <w:r>
        <w:rPr>
          <w:rFonts w:hint="eastAsia" w:ascii="Times New Roman" w:hAnsi="Times New Roman" w:eastAsia="Times New Roman" w:cs="Times New Roman"/>
          <w:szCs w:val="21"/>
        </w:rPr>
        <w:t>17 kg</w:t>
      </w:r>
      <w:r>
        <w:rPr>
          <w:rFonts w:hint="eastAsia" w:ascii="宋体" w:hAnsi="宋体" w:eastAsia="宋体" w:cs="宋体"/>
          <w:szCs w:val="21"/>
        </w:rPr>
        <w:t>。</w:t>
      </w:r>
    </w:p>
    <w:p w14:paraId="11CF85F6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5.</w:t>
      </w:r>
      <w:r>
        <w:rPr>
          <w:rFonts w:hint="eastAsia" w:ascii="黑体" w:hAnsi="宋体" w:eastAsia="黑体" w:cs="Times New Roman"/>
          <w:color w:val="000000"/>
          <w:szCs w:val="21"/>
        </w:rPr>
        <w:t>2.3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播种方式</w:t>
      </w:r>
    </w:p>
    <w:p w14:paraId="7AACB471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可</w:t>
      </w:r>
      <w:r>
        <w:rPr>
          <w:rFonts w:ascii="Times New Roman" w:hAnsi="Times New Roman" w:eastAsia="宋体" w:cs="Times New Roman"/>
          <w:kern w:val="0"/>
          <w:szCs w:val="21"/>
        </w:rPr>
        <w:t>采用</w:t>
      </w:r>
      <w:r>
        <w:rPr>
          <w:rFonts w:hint="eastAsia" w:ascii="Times New Roman" w:hAnsi="Times New Roman" w:eastAsia="宋体" w:cs="Times New Roman"/>
          <w:kern w:val="0"/>
          <w:szCs w:val="21"/>
        </w:rPr>
        <w:t>机械条播，行距20 cm～23 cm，播深2 cm～3 cm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  <w:r>
        <w:rPr>
          <w:rFonts w:hint="eastAsia" w:ascii="Times New Roman" w:hAnsi="Times New Roman" w:eastAsia="宋体" w:cs="Times New Roman"/>
          <w:kern w:val="0"/>
          <w:szCs w:val="21"/>
        </w:rPr>
        <w:t>或采用机械撒播或套播的种植方式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  <w:r>
        <w:rPr>
          <w:rFonts w:hint="eastAsia" w:ascii="Times New Roman" w:hAnsi="Times New Roman" w:eastAsia="宋体" w:cs="Times New Roman"/>
          <w:kern w:val="0"/>
          <w:szCs w:val="21"/>
        </w:rPr>
        <w:t>也可采用人工撒播，应注意提高整地质量、撒种均匀，并注意播后浅耙盖籽，适当镇压，提高田间出苗率。</w:t>
      </w:r>
    </w:p>
    <w:p w14:paraId="23FE18C5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 xml:space="preserve">  </w:t>
      </w:r>
      <w:r>
        <w:rPr>
          <w:rFonts w:hint="eastAsia" w:ascii="黑体" w:hAnsi="宋体" w:eastAsia="黑体" w:cs="Times New Roman"/>
          <w:color w:val="000000"/>
          <w:szCs w:val="21"/>
        </w:rPr>
        <w:t>田间管理</w:t>
      </w:r>
    </w:p>
    <w:p w14:paraId="0D8CEEAA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 xml:space="preserve">.1 </w:t>
      </w:r>
      <w:r>
        <w:rPr>
          <w:rFonts w:hint="eastAsia" w:ascii="黑体" w:hAnsi="宋体" w:eastAsia="黑体" w:cs="Times New Roman"/>
          <w:color w:val="000000"/>
          <w:szCs w:val="21"/>
        </w:rPr>
        <w:t>灌溉</w:t>
      </w:r>
    </w:p>
    <w:p w14:paraId="3DEAD09D"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小麦灌溉关键期为</w:t>
      </w:r>
      <w:r>
        <w:rPr>
          <w:rFonts w:hint="eastAsia" w:ascii="Times New Roman" w:hAnsi="Times New Roman" w:eastAsia="宋体" w:cs="Times New Roman"/>
          <w:kern w:val="0"/>
          <w:szCs w:val="21"/>
        </w:rPr>
        <w:t>播种期、</w:t>
      </w:r>
      <w:r>
        <w:rPr>
          <w:rFonts w:ascii="Times New Roman" w:hAnsi="Times New Roman" w:eastAsia="宋体" w:cs="Times New Roman"/>
          <w:kern w:val="0"/>
          <w:szCs w:val="21"/>
        </w:rPr>
        <w:t>越冬期、拔节期和</w:t>
      </w:r>
      <w:r>
        <w:rPr>
          <w:rFonts w:hint="eastAsia" w:ascii="Times New Roman" w:hAnsi="Times New Roman" w:eastAsia="宋体" w:cs="Times New Roman"/>
          <w:kern w:val="0"/>
          <w:szCs w:val="21"/>
        </w:rPr>
        <w:t>灌浆</w:t>
      </w:r>
      <w:r>
        <w:rPr>
          <w:rFonts w:ascii="Times New Roman" w:hAnsi="Times New Roman" w:eastAsia="宋体" w:cs="Times New Roman"/>
          <w:kern w:val="0"/>
          <w:szCs w:val="21"/>
        </w:rPr>
        <w:t>期</w:t>
      </w:r>
      <w:r>
        <w:rPr>
          <w:rFonts w:hint="eastAsia" w:ascii="Times New Roman" w:hAnsi="Times New Roman" w:eastAsia="宋体" w:cs="Times New Roman"/>
          <w:kern w:val="0"/>
          <w:szCs w:val="21"/>
        </w:rPr>
        <w:t>。</w:t>
      </w:r>
      <w:r>
        <w:rPr>
          <w:rFonts w:ascii="Times New Roman" w:hAnsi="Times New Roman" w:eastAsia="宋体" w:cs="Times New Roman"/>
          <w:kern w:val="0"/>
          <w:szCs w:val="21"/>
        </w:rPr>
        <w:t>灌溉推荐采用微喷灌的节水灌溉方式。</w:t>
      </w:r>
    </w:p>
    <w:p w14:paraId="0FA065D8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6.1.1 播种期灌溉</w:t>
      </w:r>
    </w:p>
    <w:p w14:paraId="0E1B5C9E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播种期间，当土壤含水量低于70%时，应在耕地前5d～7 d进行灌水造墒，每亩灌水量为40 m</w:t>
      </w:r>
      <w:r>
        <w:rPr>
          <w:rFonts w:hint="eastAsia" w:ascii="Times New Roman" w:hAnsi="Times New Roman" w:eastAsia="宋体" w:cs="Times New Roman"/>
          <w:kern w:val="0"/>
          <w:szCs w:val="21"/>
          <w:vertAlign w:val="superscript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～60 m</w:t>
      </w:r>
      <w:r>
        <w:rPr>
          <w:rFonts w:hint="eastAsia" w:ascii="Times New Roman" w:hAnsi="Times New Roman" w:eastAsia="宋体" w:cs="Times New Roman"/>
          <w:kern w:val="0"/>
          <w:szCs w:val="21"/>
          <w:vertAlign w:val="superscript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；播期晚的年份，可在出苗后浇灌。</w:t>
      </w:r>
    </w:p>
    <w:p w14:paraId="1A78E421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6.1.2 越冬期灌溉</w:t>
      </w:r>
    </w:p>
    <w:p w14:paraId="0EF3760D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科学浇好越冬水。秋冬遇旱应浇足越冬水，冬灌时间以日平均气温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℃左右为宜，昼消夜冻前结束。使土壤耕作层含水量达到田间最大持水量的</w:t>
      </w:r>
      <w:r>
        <w:rPr>
          <w:rFonts w:ascii="Times New Roman" w:hAnsi="Times New Roman" w:eastAsia="宋体" w:cs="Times New Roman"/>
          <w:kern w:val="0"/>
          <w:szCs w:val="21"/>
        </w:rPr>
        <w:t>60</w:t>
      </w:r>
      <w:r>
        <w:rPr>
          <w:rFonts w:hint="eastAsia" w:ascii="Times New Roman" w:hAnsi="Times New Roman" w:eastAsia="宋体" w:cs="Times New Roman"/>
          <w:kern w:val="0"/>
          <w:szCs w:val="21"/>
        </w:rPr>
        <w:t>％～</w:t>
      </w:r>
      <w:r>
        <w:rPr>
          <w:rFonts w:ascii="Times New Roman" w:hAnsi="Times New Roman" w:eastAsia="宋体" w:cs="Times New Roman"/>
          <w:kern w:val="0"/>
          <w:szCs w:val="21"/>
        </w:rPr>
        <w:t>80</w:t>
      </w:r>
      <w:r>
        <w:rPr>
          <w:rFonts w:hint="eastAsia" w:ascii="Times New Roman" w:hAnsi="Times New Roman" w:eastAsia="宋体" w:cs="Times New Roman"/>
          <w:kern w:val="0"/>
          <w:szCs w:val="21"/>
        </w:rPr>
        <w:t>％。</w:t>
      </w:r>
    </w:p>
    <w:p w14:paraId="6380971A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6.1.3 拔节期灌溉</w:t>
      </w:r>
    </w:p>
    <w:p w14:paraId="14064D7D">
      <w:pPr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在小麦返青期至拔节期，当田间持水量低于60%时，应浇返青拔节水。每亩灌水4</w:t>
      </w:r>
      <w:r>
        <w:rPr>
          <w:rFonts w:ascii="Times New Roman" w:hAnsi="Times New Roman" w:eastAsia="宋体" w:cs="Times New Roman"/>
          <w:kern w:val="0"/>
          <w:szCs w:val="21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m</w:t>
      </w:r>
      <w:r>
        <w:rPr>
          <w:rFonts w:hint="eastAsia" w:ascii="Times New Roman" w:hAnsi="Times New Roman" w:eastAsia="宋体" w:cs="Times New Roman"/>
          <w:kern w:val="0"/>
          <w:szCs w:val="21"/>
          <w:vertAlign w:val="superscript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～60 m</w:t>
      </w:r>
      <w:r>
        <w:rPr>
          <w:rFonts w:hint="eastAsia" w:ascii="Times New Roman" w:hAnsi="Times New Roman" w:eastAsia="宋体" w:cs="Times New Roman"/>
          <w:kern w:val="0"/>
          <w:szCs w:val="21"/>
          <w:vertAlign w:val="superscript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。浇水时间根据苗情而定，壮苗麦田在拔节期，旺苗麦田在孕穗期，对叶色变淡，小分蘖迅速死亡的麦田，在起身期应结合浇水施肥。</w:t>
      </w:r>
    </w:p>
    <w:p w14:paraId="45DD4293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6.1.4 灌浆期灌溉</w:t>
      </w:r>
    </w:p>
    <w:p w14:paraId="0BD94108">
      <w:pPr>
        <w:spacing w:before="156" w:beforeLines="50" w:after="156" w:afterLines="50" w:line="400" w:lineRule="exact"/>
        <w:ind w:firstLine="420" w:firstLineChars="200"/>
        <w:outlineLvl w:val="3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抽穗至灌浆期，耕层土壤相对含水量低于65%时，</w:t>
      </w:r>
      <w:r>
        <w:rPr>
          <w:rFonts w:hint="eastAsia" w:ascii="宋体" w:hAnsi="宋体" w:eastAsia="宋体" w:cs="Times New Roman"/>
          <w:szCs w:val="21"/>
        </w:rPr>
        <w:t>每亩灌水50</w:t>
      </w:r>
      <w:r>
        <w:rPr>
          <w:rFonts w:hint="eastAsia" w:ascii="Times New Roman" w:hAnsi="Times New Roman" w:eastAsia="宋体" w:cs="Times New Roman"/>
          <w:szCs w:val="21"/>
        </w:rPr>
        <w:t xml:space="preserve"> m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3</w:t>
      </w:r>
      <w:r>
        <w:rPr>
          <w:rFonts w:hint="eastAsia" w:ascii="宋体" w:hAnsi="宋体" w:eastAsia="宋体" w:cs="Times New Roman"/>
          <w:szCs w:val="21"/>
        </w:rPr>
        <w:t>～60</w:t>
      </w:r>
      <w:r>
        <w:rPr>
          <w:rFonts w:hint="eastAsia" w:ascii="Times New Roman" w:hAnsi="Times New Roman" w:eastAsia="宋体" w:cs="Times New Roman"/>
          <w:szCs w:val="21"/>
        </w:rPr>
        <w:t xml:space="preserve"> m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，浇水时应选择无风天气，小水慢浇。</w:t>
      </w:r>
    </w:p>
    <w:p w14:paraId="3E8C9DF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施肥</w:t>
      </w:r>
    </w:p>
    <w:p w14:paraId="703F8D7C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2.</w:t>
      </w:r>
      <w:r>
        <w:rPr>
          <w:rFonts w:ascii="黑体" w:hAnsi="宋体" w:eastAsia="黑体" w:cs="Times New Roman"/>
          <w:color w:val="000000"/>
          <w:szCs w:val="21"/>
        </w:rPr>
        <w:t xml:space="preserve">1 </w:t>
      </w:r>
      <w:r>
        <w:rPr>
          <w:rFonts w:hint="eastAsia" w:ascii="黑体" w:hAnsi="宋体" w:eastAsia="黑体" w:cs="Times New Roman"/>
          <w:color w:val="000000"/>
          <w:szCs w:val="21"/>
        </w:rPr>
        <w:t>施肥原则</w:t>
      </w:r>
    </w:p>
    <w:p w14:paraId="24BA8548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以农家肥料、有机肥料、微生物肥料等有机肥为主、化学肥料为辅，在实行化肥减控原则的同时，遵循可持续发展和安全优质原则。肥料施用应符合NY/T394的规定。</w:t>
      </w:r>
    </w:p>
    <w:p w14:paraId="6A1ED2DB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2.2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施肥方式</w:t>
      </w:r>
    </w:p>
    <w:p w14:paraId="25D2BA07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基肥采用先撒施，后翻耕的方式掩入土中；追肥条施。</w:t>
      </w:r>
    </w:p>
    <w:p w14:paraId="5D609B00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2.3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施肥量</w:t>
      </w:r>
    </w:p>
    <w:p w14:paraId="794FF914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根据土壤肥力状况和产量水平，</w:t>
      </w:r>
      <w:r>
        <w:rPr>
          <w:rFonts w:ascii="Times New Roman" w:hAnsi="Times New Roman" w:eastAsia="宋体" w:cs="Times New Roman"/>
          <w:kern w:val="0"/>
          <w:szCs w:val="21"/>
        </w:rPr>
        <w:t>确定施肥量和肥料比例。小麦全生育期总施肥量分别为氮（N）12 kg～14 kg/</w:t>
      </w:r>
      <w:r>
        <w:rPr>
          <w:rFonts w:hint="eastAsia" w:ascii="Times New Roman" w:hAnsi="Times New Roman" w:eastAsia="宋体" w:cs="Times New Roman"/>
          <w:kern w:val="0"/>
          <w:szCs w:val="21"/>
        </w:rPr>
        <w:t>亩</w:t>
      </w:r>
      <w:r>
        <w:rPr>
          <w:rFonts w:ascii="Times New Roman" w:hAnsi="Times New Roman" w:eastAsia="宋体" w:cs="Times New Roman"/>
          <w:kern w:val="0"/>
          <w:szCs w:val="21"/>
        </w:rPr>
        <w:t>、磷（P</w:t>
      </w:r>
      <w:r>
        <w:rPr>
          <w:rFonts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O</w:t>
      </w:r>
      <w:r>
        <w:rPr>
          <w:rFonts w:ascii="Times New Roman" w:hAnsi="Times New Roman" w:eastAsia="宋体" w:cs="Times New Roman"/>
          <w:kern w:val="0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kern w:val="0"/>
          <w:szCs w:val="21"/>
        </w:rPr>
        <w:t>）4 kg～6 kg/</w:t>
      </w:r>
      <w:r>
        <w:rPr>
          <w:rFonts w:hint="eastAsia" w:ascii="Times New Roman" w:hAnsi="Times New Roman" w:eastAsia="宋体" w:cs="Times New Roman"/>
          <w:kern w:val="0"/>
          <w:szCs w:val="21"/>
        </w:rPr>
        <w:t>亩</w:t>
      </w:r>
      <w:r>
        <w:rPr>
          <w:rFonts w:ascii="Times New Roman" w:hAnsi="Times New Roman" w:eastAsia="宋体" w:cs="Times New Roman"/>
          <w:kern w:val="0"/>
          <w:szCs w:val="21"/>
        </w:rPr>
        <w:t>和钾（K</w:t>
      </w:r>
      <w:r>
        <w:rPr>
          <w:rFonts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O）5 kg～7 kg/</w:t>
      </w:r>
      <w:r>
        <w:rPr>
          <w:rFonts w:hint="eastAsia" w:ascii="Times New Roman" w:hAnsi="Times New Roman" w:eastAsia="宋体" w:cs="Times New Roman"/>
          <w:kern w:val="0"/>
          <w:szCs w:val="21"/>
        </w:rPr>
        <w:t>亩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  <w:r>
        <w:rPr>
          <w:rFonts w:hint="eastAsia" w:ascii="Times New Roman" w:hAnsi="Times New Roman" w:eastAsia="宋体" w:cs="Times New Roman"/>
          <w:kern w:val="0"/>
          <w:szCs w:val="21"/>
        </w:rPr>
        <w:t>氮肥总量的60%～70%作基肥，30%～40%作追肥。有机肥全部作基肥，</w:t>
      </w:r>
      <w:r>
        <w:rPr>
          <w:rFonts w:ascii="Times New Roman" w:hAnsi="Times New Roman" w:eastAsia="宋体" w:cs="Times New Roman"/>
          <w:kern w:val="0"/>
          <w:szCs w:val="21"/>
        </w:rPr>
        <w:t>一般每</w:t>
      </w:r>
      <w:r>
        <w:rPr>
          <w:rFonts w:hint="eastAsia" w:ascii="Times New Roman" w:hAnsi="Times New Roman" w:eastAsia="宋体" w:cs="Times New Roman"/>
          <w:kern w:val="0"/>
          <w:szCs w:val="21"/>
        </w:rPr>
        <w:t>亩</w:t>
      </w:r>
      <w:r>
        <w:rPr>
          <w:rFonts w:ascii="Times New Roman" w:hAnsi="Times New Roman" w:eastAsia="宋体" w:cs="Times New Roman"/>
          <w:kern w:val="0"/>
          <w:szCs w:val="21"/>
        </w:rPr>
        <w:t>施</w:t>
      </w:r>
      <w:r>
        <w:rPr>
          <w:rFonts w:hint="eastAsia" w:ascii="Times New Roman" w:hAnsi="Times New Roman" w:eastAsia="宋体" w:cs="Times New Roman"/>
          <w:kern w:val="0"/>
          <w:szCs w:val="21"/>
        </w:rPr>
        <w:t>充分腐熟的农家肥2</w:t>
      </w:r>
      <w:r>
        <w:rPr>
          <w:rFonts w:ascii="Times New Roman" w:hAnsi="Times New Roman" w:eastAsia="宋体" w:cs="Times New Roman"/>
          <w:kern w:val="0"/>
          <w:szCs w:val="21"/>
        </w:rPr>
        <w:t>000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kg～</w:t>
      </w:r>
      <w:r>
        <w:rPr>
          <w:rFonts w:hint="eastAsia" w:ascii="Times New Roman" w:hAnsi="Times New Roman" w:eastAsia="宋体" w:cs="Times New Roman"/>
          <w:kern w:val="0"/>
          <w:szCs w:val="21"/>
        </w:rPr>
        <w:t>4</w:t>
      </w:r>
      <w:r>
        <w:rPr>
          <w:rFonts w:ascii="Times New Roman" w:hAnsi="Times New Roman" w:eastAsia="宋体" w:cs="Times New Roman"/>
          <w:kern w:val="0"/>
          <w:szCs w:val="21"/>
        </w:rPr>
        <w:t>000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kg，</w:t>
      </w:r>
      <w:r>
        <w:rPr>
          <w:rFonts w:hint="eastAsia" w:ascii="Times New Roman" w:hAnsi="Times New Roman" w:eastAsia="宋体" w:cs="Times New Roman"/>
          <w:kern w:val="0"/>
          <w:szCs w:val="21"/>
        </w:rPr>
        <w:t>或生物有机肥200 kg</w:t>
      </w:r>
      <w:r>
        <w:rPr>
          <w:rFonts w:ascii="Times New Roman" w:hAnsi="Times New Roman" w:eastAsia="宋体" w:cs="Times New Roman"/>
          <w:kern w:val="0"/>
          <w:szCs w:val="21"/>
        </w:rPr>
        <w:t>～</w:t>
      </w:r>
      <w:r>
        <w:rPr>
          <w:rFonts w:hint="eastAsia" w:ascii="Times New Roman" w:hAnsi="Times New Roman" w:eastAsia="宋体" w:cs="Times New Roman"/>
          <w:kern w:val="0"/>
          <w:szCs w:val="21"/>
        </w:rPr>
        <w:t>300 kg。追肥在返青期或拔节期施，每亩追施尿素8 kg～10 kg。</w:t>
      </w:r>
    </w:p>
    <w:p w14:paraId="0FF2ADB8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ascii="黑体" w:hAnsi="宋体" w:eastAsia="黑体" w:cs="Times New Roman"/>
          <w:color w:val="000000"/>
          <w:szCs w:val="21"/>
        </w:rPr>
        <w:t>6.3</w:t>
      </w:r>
      <w:r>
        <w:rPr>
          <w:rFonts w:hint="eastAsia" w:ascii="黑体" w:hAnsi="宋体" w:eastAsia="黑体" w:cs="Times New Roman"/>
          <w:color w:val="000000"/>
          <w:szCs w:val="21"/>
        </w:rPr>
        <w:t xml:space="preserve"> 病虫草害防治</w:t>
      </w:r>
    </w:p>
    <w:p w14:paraId="0ECBD5B2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3.1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防治原则</w:t>
      </w:r>
    </w:p>
    <w:p w14:paraId="5429DBB2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坚持“预防为主，综合防治”的植保方针，推广绿色防控技术，优先采用农业防控、理化诱控、生态调控、生物防控，结合总体开展化学防控；化学防控药物的选用应符合NY/T 393的规定。</w:t>
      </w:r>
    </w:p>
    <w:p w14:paraId="6C2AC70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主要病虫草害</w:t>
      </w:r>
    </w:p>
    <w:p w14:paraId="54EF8383">
      <w:pPr>
        <w:adjustRightInd w:val="0"/>
        <w:snapToGrid w:val="0"/>
        <w:spacing w:before="156" w:beforeLines="50" w:after="156" w:afterLines="50" w:line="400" w:lineRule="exact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主要病害有锈病、白粉病、纹枯病和赤霉病等；害虫有蚜虫、麦蜘蛛</w:t>
      </w:r>
      <w:r>
        <w:rPr>
          <w:rFonts w:hint="eastAsia" w:ascii="Times New Roman" w:hAnsi="Times New Roman" w:eastAsia="宋体" w:cs="Times New Roman"/>
          <w:kern w:val="0"/>
          <w:szCs w:val="21"/>
        </w:rPr>
        <w:t>、小麦粘虫</w:t>
      </w:r>
      <w:r>
        <w:rPr>
          <w:rFonts w:ascii="Times New Roman" w:hAnsi="Times New Roman" w:eastAsia="宋体" w:cs="Times New Roman"/>
          <w:kern w:val="0"/>
          <w:szCs w:val="21"/>
        </w:rPr>
        <w:t>等；杂草有看麦娘、节节麦、荠菜、播娘蒿、猪殃殃等。</w:t>
      </w:r>
    </w:p>
    <w:p w14:paraId="4C45B9D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防治措施</w:t>
      </w:r>
    </w:p>
    <w:p w14:paraId="33FA4FA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3.3.1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农业防治</w:t>
      </w:r>
    </w:p>
    <w:p w14:paraId="38A756B7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选用抗性强的小麦品种，定期轮换，保持品种抗性，采用合理耕作制度、轮作换茬、中耕除草、清洁田园等农艺措施，减轻病虫害的发生。</w:t>
      </w:r>
    </w:p>
    <w:p w14:paraId="2B2D883A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3.3.2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生物防治</w:t>
      </w:r>
    </w:p>
    <w:p w14:paraId="299CCA00">
      <w:pPr>
        <w:autoSpaceDE w:val="0"/>
        <w:autoSpaceDN w:val="0"/>
        <w:spacing w:before="156" w:beforeLines="50" w:after="156" w:afterLines="50" w:line="400" w:lineRule="exact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利用天敌控制有害生物的发生；如利用赤眼蜂防治小麦粘虫，利用七星瓢虫和食蚜蝇防治小麦蚜虫。</w:t>
      </w:r>
    </w:p>
    <w:p w14:paraId="7E3146B7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3.3.3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物理防治</w:t>
      </w:r>
    </w:p>
    <w:p w14:paraId="73CAF159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利用害虫的趋光性及害虫对色泽的趋性进行诱杀。安装频振式杀虫灯（每50亩架设1台），诱杀金龟子、蝼蛄、灰飞虱等害虫；架设糖醋盆（每5亩～10亩地放1盆，盆高出作物35cm左右，诱剂保持3.5cm深左右，白天将盆盖好，晚上开盖，连续15d～20d。），诱杀粘虫等害虫；每亩悬挂40张</w:t>
      </w:r>
      <w:r>
        <w:rPr>
          <w:rFonts w:ascii="宋体" w:hAnsi="宋体" w:eastAsia="宋体" w:cs="Times New Roman"/>
          <w:szCs w:val="21"/>
        </w:rPr>
        <w:t>～</w:t>
      </w:r>
      <w:r>
        <w:rPr>
          <w:rFonts w:hint="eastAsia" w:ascii="宋体" w:hAnsi="宋体" w:eastAsia="宋体" w:cs="Times New Roman"/>
          <w:szCs w:val="21"/>
        </w:rPr>
        <w:t>60张黄板诱杀蚜虫。</w:t>
      </w:r>
    </w:p>
    <w:p w14:paraId="79B48592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3.3.4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化学防治</w:t>
      </w:r>
    </w:p>
    <w:p w14:paraId="40DBB87F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农药使用应符合</w:t>
      </w:r>
      <w:r>
        <w:rPr>
          <w:rFonts w:ascii="宋体" w:hAnsi="宋体" w:eastAsia="宋体" w:cs="Times New Roman"/>
          <w:szCs w:val="21"/>
        </w:rPr>
        <w:t>NY/T 393</w:t>
      </w:r>
      <w:r>
        <w:rPr>
          <w:rFonts w:hint="eastAsia" w:ascii="宋体" w:hAnsi="宋体" w:eastAsia="宋体" w:cs="Times New Roman"/>
          <w:szCs w:val="21"/>
        </w:rPr>
        <w:t>的规定。严格按照农药使用说明书的剂量使用。具体防治方法详见附录A。</w:t>
      </w:r>
    </w:p>
    <w:p w14:paraId="7426194A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6</w:t>
      </w:r>
      <w:r>
        <w:rPr>
          <w:rFonts w:ascii="黑体" w:hAnsi="宋体" w:eastAsia="黑体" w:cs="Times New Roman"/>
          <w:color w:val="000000"/>
          <w:szCs w:val="21"/>
        </w:rPr>
        <w:t>.</w:t>
      </w:r>
      <w:r>
        <w:rPr>
          <w:rFonts w:hint="eastAsia" w:ascii="黑体" w:hAnsi="宋体" w:eastAsia="黑体" w:cs="Times New Roman"/>
          <w:color w:val="000000"/>
          <w:szCs w:val="21"/>
        </w:rPr>
        <w:t>3.3.5</w:t>
      </w:r>
      <w:r>
        <w:rPr>
          <w:rFonts w:ascii="黑体" w:hAnsi="宋体" w:eastAsia="黑体" w:cs="Times New Roman"/>
          <w:color w:val="000000"/>
          <w:szCs w:val="21"/>
        </w:rPr>
        <w:t xml:space="preserve"> </w:t>
      </w:r>
      <w:r>
        <w:rPr>
          <w:rFonts w:hint="eastAsia" w:ascii="黑体" w:hAnsi="宋体" w:eastAsia="黑体" w:cs="Times New Roman"/>
          <w:color w:val="000000"/>
          <w:szCs w:val="21"/>
        </w:rPr>
        <w:t>化学除草</w:t>
      </w:r>
    </w:p>
    <w:p w14:paraId="30ECBED1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立足春草秋治，注重冬前化学除草；冬前未能及时除草或草害较重的麦田，返青期及时进行化学除草。具体防治方法详见附录A，具体用药量可根据药剂有效用量折算。</w:t>
      </w:r>
    </w:p>
    <w:p w14:paraId="372487E1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7</w:t>
      </w:r>
      <w:r>
        <w:rPr>
          <w:rFonts w:ascii="黑体" w:hAnsi="宋体" w:eastAsia="黑体" w:cs="Times New Roman"/>
          <w:color w:val="000000"/>
          <w:szCs w:val="21"/>
        </w:rPr>
        <w:t xml:space="preserve">  </w:t>
      </w:r>
      <w:r>
        <w:rPr>
          <w:rFonts w:hint="eastAsia" w:ascii="黑体" w:hAnsi="宋体" w:eastAsia="黑体" w:cs="Times New Roman"/>
          <w:color w:val="000000"/>
          <w:szCs w:val="21"/>
        </w:rPr>
        <w:t>收获</w:t>
      </w:r>
    </w:p>
    <w:p w14:paraId="6AE7BC47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在蜡熟末期适时收获。按品种分收，联合收割机收获时，按品种连续作业；换品种时清净机器，防止机械混杂。收获机械、器具应保持洁净、无污染。收获的小麦籽粒应选择无污染的晒场做到单独晒晾，清除杂质。</w:t>
      </w:r>
    </w:p>
    <w:p w14:paraId="58B1D2DB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8</w:t>
      </w:r>
      <w:r>
        <w:rPr>
          <w:rFonts w:ascii="黑体" w:hAnsi="宋体" w:eastAsia="黑体" w:cs="Times New Roman"/>
          <w:color w:val="000000"/>
          <w:szCs w:val="21"/>
        </w:rPr>
        <w:t xml:space="preserve">  </w:t>
      </w:r>
      <w:r>
        <w:rPr>
          <w:rFonts w:hint="eastAsia" w:ascii="黑体" w:hAnsi="宋体" w:eastAsia="黑体" w:cs="Times New Roman"/>
          <w:color w:val="000000"/>
          <w:szCs w:val="21"/>
        </w:rPr>
        <w:t>储藏</w:t>
      </w:r>
    </w:p>
    <w:p w14:paraId="098621A5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8.1 入库标准</w:t>
      </w:r>
    </w:p>
    <w:p w14:paraId="697B16C8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入库小麦的容重≥790g/L，杂质≤1.0%，水分≤12.5%，气味正常，质量应符合GB 1351的规定。</w:t>
      </w:r>
    </w:p>
    <w:p w14:paraId="1C588484">
      <w:pPr>
        <w:spacing w:before="156" w:beforeLines="50" w:after="156" w:afterLines="50"/>
        <w:outlineLvl w:val="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8.2 粮库质量</w:t>
      </w:r>
    </w:p>
    <w:p w14:paraId="773DB809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粮库符合</w:t>
      </w:r>
      <w:r>
        <w:rPr>
          <w:rFonts w:ascii="宋体" w:hAnsi="宋体" w:eastAsia="宋体" w:cs="Times New Roman"/>
          <w:szCs w:val="21"/>
        </w:rPr>
        <w:t>NY/T 1056</w:t>
      </w:r>
      <w:r>
        <w:rPr>
          <w:rFonts w:hint="eastAsia" w:ascii="宋体" w:hAnsi="宋体" w:eastAsia="宋体" w:cs="Times New Roman"/>
          <w:szCs w:val="21"/>
        </w:rPr>
        <w:t>的规定，达到屋面不漏雨，地面不返潮，墙体无裂缝，门窗能密闭，具有坚固、防潮、隔热、通风和密闭等性能。</w:t>
      </w:r>
    </w:p>
    <w:p w14:paraId="6DFFAF3A">
      <w:pPr>
        <w:spacing w:before="156" w:beforeLines="50" w:after="156" w:afterLines="50" w:line="400" w:lineRule="exact"/>
        <w:outlineLvl w:val="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8.3 防虫措施</w:t>
      </w:r>
    </w:p>
    <w:p w14:paraId="1187C0F8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仓库防虫时，选择符合</w:t>
      </w:r>
      <w:r>
        <w:rPr>
          <w:rFonts w:ascii="Times New Roman" w:hAnsi="Times New Roman" w:eastAsia="宋体" w:cs="Times New Roman"/>
          <w:szCs w:val="21"/>
        </w:rPr>
        <w:t>NY/T 393</w:t>
      </w:r>
      <w:r>
        <w:rPr>
          <w:rFonts w:hint="eastAsia" w:ascii="Times New Roman" w:hAnsi="Times New Roman" w:eastAsia="宋体" w:cs="Times New Roman"/>
          <w:szCs w:val="21"/>
        </w:rPr>
        <w:t>规定的化学防虫剂，宜用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>kg</w:t>
      </w:r>
      <w:r>
        <w:rPr>
          <w:rFonts w:hint="eastAsia" w:ascii="宋体" w:hAnsi="宋体" w:eastAsia="宋体" w:cs="Times New Roman"/>
          <w:szCs w:val="21"/>
        </w:rPr>
        <w:t>～</w:t>
      </w:r>
      <w:r>
        <w:rPr>
          <w:rFonts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>kg</w:t>
      </w:r>
      <w:r>
        <w:rPr>
          <w:rFonts w:hint="eastAsia" w:ascii="宋体" w:hAnsi="宋体" w:eastAsia="宋体" w:cs="Times New Roman"/>
          <w:szCs w:val="21"/>
        </w:rPr>
        <w:t>/1000 kg辣蓼碎段放置粮堆和表面防虫。</w:t>
      </w:r>
    </w:p>
    <w:p w14:paraId="4625A1D7">
      <w:pPr>
        <w:spacing w:before="156" w:beforeLines="50" w:after="156" w:afterLines="50" w:line="400" w:lineRule="exact"/>
        <w:outlineLvl w:val="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8.4 防鼠措施</w:t>
      </w:r>
    </w:p>
    <w:p w14:paraId="2CD39F53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粮库外围靠墙设置一定数量的鼠饵盒，内放做成蜡块的诱饵，药物成分为法律法规允许使用于食品工厂灭鼠的药物。粮库出入口和窗户设置挡鼠板或挡鼠网。粮库内每隔</w:t>
      </w:r>
      <w:r>
        <w:rPr>
          <w:rFonts w:ascii="宋体" w:hAnsi="宋体" w:eastAsia="宋体" w:cs="Times New Roman"/>
          <w:szCs w:val="21"/>
        </w:rPr>
        <w:t>15 m</w:t>
      </w:r>
      <w:r>
        <w:rPr>
          <w:rFonts w:hint="eastAsia" w:ascii="宋体" w:hAnsi="宋体" w:eastAsia="宋体" w:cs="Times New Roman"/>
          <w:szCs w:val="21"/>
        </w:rPr>
        <w:t>靠墙设置一个鼠笼，鼠笼中的诱饵不得使用易变质食物，要求使用无污染的鼠饵球。根据需要可增设黏鼠板。</w:t>
      </w:r>
    </w:p>
    <w:p w14:paraId="51C00D4B">
      <w:pPr>
        <w:spacing w:before="156" w:beforeLines="50" w:after="156" w:afterLines="50" w:line="400" w:lineRule="exact"/>
        <w:outlineLvl w:val="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8.5 防潮措施</w:t>
      </w:r>
    </w:p>
    <w:p w14:paraId="60340C19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热入仓密闭保管，小麦使用的仓房、器材、工具和压盖物均须事先彻底消毒，充分干燥，做到粮热、仓热、工具和器材热，防止“结露”现象发生。聚热缺氧杀虫过程结束后，将小麦进行自然通风或机械通风充分散热祛湿，经常翻动粮面或开沟，防止后熟期间可能引起的水分分层和上层“结顶”现象。</w:t>
      </w:r>
    </w:p>
    <w:p w14:paraId="40F3FC02">
      <w:pPr>
        <w:spacing w:before="156" w:beforeLines="50" w:after="156" w:afterLines="50" w:line="400" w:lineRule="exact"/>
        <w:outlineLvl w:val="2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9  包装与运输</w:t>
      </w:r>
    </w:p>
    <w:p w14:paraId="6AA25F76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所用包装材料或容器应采用单一材质、方便回收或可生物降解的材料，符合</w:t>
      </w:r>
      <w:r>
        <w:rPr>
          <w:rFonts w:ascii="宋体" w:hAnsi="宋体" w:eastAsia="宋体" w:cs="Times New Roman"/>
          <w:szCs w:val="21"/>
        </w:rPr>
        <w:t>NY/T 658</w:t>
      </w:r>
      <w:r>
        <w:rPr>
          <w:rFonts w:hint="eastAsia" w:ascii="宋体" w:hAnsi="宋体" w:eastAsia="宋体" w:cs="Times New Roman"/>
          <w:szCs w:val="21"/>
        </w:rPr>
        <w:t>的规定。在运输过程中禁止与其他有毒有害、易污染环境等物质一起运输，以防污染。</w:t>
      </w:r>
    </w:p>
    <w:p w14:paraId="7342D64A">
      <w:pPr>
        <w:spacing w:before="156" w:beforeLines="50" w:after="156" w:afterLines="50" w:line="400" w:lineRule="exact"/>
        <w:outlineLvl w:val="1"/>
        <w:rPr>
          <w:rFonts w:ascii="黑体" w:hAnsi="宋体" w:eastAsia="黑体" w:cs="Times New Roman"/>
          <w:color w:val="000000"/>
          <w:szCs w:val="21"/>
        </w:rPr>
      </w:pPr>
      <w:r>
        <w:rPr>
          <w:rFonts w:hint="eastAsia" w:ascii="黑体" w:hAnsi="宋体" w:eastAsia="黑体" w:cs="Times New Roman"/>
          <w:color w:val="000000"/>
          <w:szCs w:val="21"/>
        </w:rPr>
        <w:t>10</w:t>
      </w:r>
      <w:r>
        <w:rPr>
          <w:rFonts w:ascii="黑体" w:hAnsi="宋体" w:eastAsia="黑体" w:cs="Times New Roman"/>
          <w:color w:val="000000"/>
          <w:szCs w:val="21"/>
        </w:rPr>
        <w:t xml:space="preserve">  </w:t>
      </w:r>
      <w:r>
        <w:rPr>
          <w:rFonts w:hint="eastAsia" w:ascii="黑体" w:hAnsi="宋体" w:eastAsia="黑体" w:cs="Times New Roman"/>
          <w:color w:val="000000"/>
          <w:szCs w:val="21"/>
        </w:rPr>
        <w:t>生产废弃物处理</w:t>
      </w:r>
    </w:p>
    <w:p w14:paraId="75A89994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小麦生产的副产品主要包括秸秆、麦糠等，建议加装秸秆切碎喷撒装置，要求粉碎后的麦秸长度≤</w:t>
      </w:r>
      <w:r>
        <w:rPr>
          <w:rFonts w:ascii="宋体" w:hAnsi="宋体" w:eastAsia="宋体" w:cs="Times New Roman"/>
          <w:szCs w:val="21"/>
        </w:rPr>
        <w:t>15 cm</w:t>
      </w:r>
      <w:r>
        <w:rPr>
          <w:rFonts w:hint="eastAsia" w:ascii="宋体" w:hAnsi="宋体" w:eastAsia="宋体" w:cs="Times New Roman"/>
          <w:szCs w:val="21"/>
        </w:rPr>
        <w:t>，均匀抛撒；或堆制有机肥；或进行秸秆饲料、秸秆气化等综合利用，严禁焚烧、丢弃，防止污染环境。</w:t>
      </w:r>
    </w:p>
    <w:p w14:paraId="0AD82426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病虫草害防治过程中使用过的农药瓶、农药袋等包装物不得随便丢弃，应及时回收，统一销毁或二次利用。</w:t>
      </w:r>
    </w:p>
    <w:p w14:paraId="757858D1">
      <w:pPr>
        <w:spacing w:before="156" w:beforeLines="50" w:after="156" w:afterLines="50" w:line="400" w:lineRule="exact"/>
        <w:outlineLvl w:val="2"/>
        <w:rPr>
          <w:rFonts w:ascii="黑体" w:hAnsi="黑体" w:eastAsia="黑体" w:cs="Times New Roman"/>
          <w:szCs w:val="21"/>
        </w:rPr>
      </w:pPr>
      <w:r>
        <w:rPr>
          <w:rFonts w:ascii="黑体" w:hAnsi="黑体" w:eastAsia="黑体" w:cs="Times New Roman"/>
          <w:szCs w:val="21"/>
        </w:rPr>
        <w:t>1</w:t>
      </w:r>
      <w:r>
        <w:rPr>
          <w:rFonts w:hint="eastAsia" w:ascii="黑体" w:hAnsi="黑体" w:eastAsia="黑体" w:cs="Times New Roman"/>
          <w:szCs w:val="21"/>
        </w:rPr>
        <w:t>1</w:t>
      </w:r>
      <w:r>
        <w:rPr>
          <w:rFonts w:ascii="黑体" w:hAnsi="黑体" w:eastAsia="黑体" w:cs="Times New Roman"/>
          <w:szCs w:val="21"/>
        </w:rPr>
        <w:t xml:space="preserve"> </w:t>
      </w:r>
      <w:r>
        <w:rPr>
          <w:rFonts w:hint="eastAsia" w:ascii="黑体" w:hAnsi="黑体" w:eastAsia="黑体" w:cs="Times New Roman"/>
          <w:szCs w:val="21"/>
        </w:rPr>
        <w:t>生产档案</w:t>
      </w:r>
    </w:p>
    <w:p w14:paraId="4226D275">
      <w:pPr>
        <w:spacing w:before="156" w:beforeLines="50" w:after="156" w:afterLines="50" w:line="400" w:lineRule="exact"/>
        <w:ind w:firstLine="420" w:firstLineChars="200"/>
        <w:outlineLvl w:val="1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建立生产档案，主要包括生产投入品采购、入库、出库、使用记录，农事操作记录，收获记录及储运记录等，生产档案保存3年以上。</w:t>
      </w:r>
    </w:p>
    <w:p w14:paraId="73C7430F">
      <w:pPr>
        <w:widowControl/>
        <w:rPr>
          <w:rFonts w:ascii="黑体" w:hAnsi="宋体" w:eastAsia="黑体" w:cs="Times New Roman"/>
          <w:kern w:val="0"/>
          <w:szCs w:val="21"/>
        </w:rPr>
      </w:pPr>
    </w:p>
    <w:p w14:paraId="1FCD1605">
      <w:pPr>
        <w:widowControl/>
        <w:ind w:firstLine="3780" w:firstLineChars="1800"/>
        <w:rPr>
          <w:rFonts w:ascii="黑体" w:hAnsi="宋体" w:eastAsia="黑体" w:cs="Times New Roman"/>
          <w:kern w:val="0"/>
          <w:szCs w:val="21"/>
        </w:rPr>
      </w:pPr>
      <w:r>
        <w:rPr>
          <w:rFonts w:hint="eastAsia" w:ascii="黑体" w:hAnsi="宋体" w:eastAsia="黑体" w:cs="Times New Roman"/>
          <w:kern w:val="0"/>
          <w:szCs w:val="21"/>
        </w:rPr>
        <w:t>附录A</w:t>
      </w:r>
    </w:p>
    <w:p w14:paraId="47D60FFA">
      <w:pPr>
        <w:widowControl/>
        <w:ind w:firstLine="3360" w:firstLineChars="1600"/>
        <w:rPr>
          <w:rFonts w:ascii="黑体" w:hAnsi="宋体" w:eastAsia="黑体" w:cs="Times New Roman"/>
          <w:kern w:val="0"/>
          <w:szCs w:val="21"/>
        </w:rPr>
      </w:pPr>
      <w:r>
        <w:rPr>
          <w:rFonts w:hint="eastAsia" w:ascii="黑体" w:hAnsi="宋体" w:eastAsia="黑体" w:cs="Times New Roman"/>
          <w:kern w:val="0"/>
          <w:szCs w:val="21"/>
        </w:rPr>
        <w:t>（资料性附录）</w:t>
      </w:r>
    </w:p>
    <w:p w14:paraId="5AE3C4F4">
      <w:pPr>
        <w:widowControl/>
        <w:jc w:val="center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绿色食品 黄淮海中部地区小麦生产主要病虫草害化学防治方案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82"/>
        <w:gridCol w:w="1348"/>
        <w:gridCol w:w="1756"/>
        <w:gridCol w:w="1890"/>
        <w:gridCol w:w="675"/>
        <w:gridCol w:w="724"/>
      </w:tblGrid>
      <w:tr w14:paraId="576E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Align w:val="center"/>
          </w:tcPr>
          <w:p w14:paraId="080B92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防治对象</w:t>
            </w:r>
          </w:p>
        </w:tc>
        <w:tc>
          <w:tcPr>
            <w:tcW w:w="635" w:type="pct"/>
            <w:vAlign w:val="center"/>
          </w:tcPr>
          <w:p w14:paraId="34BC9EB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防治时期</w:t>
            </w:r>
          </w:p>
        </w:tc>
        <w:tc>
          <w:tcPr>
            <w:tcW w:w="791" w:type="pct"/>
            <w:vAlign w:val="center"/>
          </w:tcPr>
          <w:p w14:paraId="7B8E7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防治指标</w:t>
            </w:r>
          </w:p>
        </w:tc>
        <w:tc>
          <w:tcPr>
            <w:tcW w:w="1030" w:type="pct"/>
            <w:vAlign w:val="center"/>
          </w:tcPr>
          <w:p w14:paraId="4442A44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农药名称</w:t>
            </w:r>
          </w:p>
        </w:tc>
        <w:tc>
          <w:tcPr>
            <w:tcW w:w="1109" w:type="pct"/>
            <w:vAlign w:val="center"/>
          </w:tcPr>
          <w:p w14:paraId="147AAF6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使用量</w:t>
            </w:r>
          </w:p>
        </w:tc>
        <w:tc>
          <w:tcPr>
            <w:tcW w:w="396" w:type="pct"/>
            <w:vAlign w:val="center"/>
          </w:tcPr>
          <w:p w14:paraId="3616C9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施药</w:t>
            </w:r>
          </w:p>
          <w:p w14:paraId="1DCF978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425" w:type="pct"/>
            <w:vAlign w:val="center"/>
          </w:tcPr>
          <w:p w14:paraId="5E5C92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安全间隔天数</w:t>
            </w:r>
          </w:p>
        </w:tc>
      </w:tr>
      <w:tr w14:paraId="49F8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restart"/>
            <w:vAlign w:val="center"/>
          </w:tcPr>
          <w:p w14:paraId="01F855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白粉病和条锈病</w:t>
            </w:r>
          </w:p>
        </w:tc>
        <w:tc>
          <w:tcPr>
            <w:tcW w:w="635" w:type="pct"/>
            <w:vMerge w:val="restart"/>
            <w:vAlign w:val="center"/>
          </w:tcPr>
          <w:p w14:paraId="77EFB8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拔节至灌浆期</w:t>
            </w:r>
          </w:p>
        </w:tc>
        <w:tc>
          <w:tcPr>
            <w:tcW w:w="791" w:type="pct"/>
            <w:vMerge w:val="restart"/>
            <w:vAlign w:val="center"/>
          </w:tcPr>
          <w:p w14:paraId="40CAEF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病叶率5%～10%或病情指数15以上</w:t>
            </w:r>
          </w:p>
        </w:tc>
        <w:tc>
          <w:tcPr>
            <w:tcW w:w="1030" w:type="pct"/>
            <w:vAlign w:val="center"/>
          </w:tcPr>
          <w:p w14:paraId="05E3922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%丙环唑乳油</w:t>
            </w:r>
          </w:p>
        </w:tc>
        <w:tc>
          <w:tcPr>
            <w:tcW w:w="1109" w:type="pct"/>
            <w:vAlign w:val="center"/>
          </w:tcPr>
          <w:p w14:paraId="1627A3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～35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10D16C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382EBE9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14:paraId="3E4B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511268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7780F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29E8CC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261AFC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%三唑酮乳油</w:t>
            </w:r>
          </w:p>
        </w:tc>
        <w:tc>
          <w:tcPr>
            <w:tcW w:w="1109" w:type="pct"/>
            <w:vAlign w:val="center"/>
          </w:tcPr>
          <w:p w14:paraId="619F35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～50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71C456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233C2AA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30CB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20461F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E3398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66241D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0070BAA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25%戊唑醇可湿性粉剂</w:t>
            </w:r>
          </w:p>
        </w:tc>
        <w:tc>
          <w:tcPr>
            <w:tcW w:w="1109" w:type="pct"/>
            <w:vAlign w:val="center"/>
          </w:tcPr>
          <w:p w14:paraId="0BE8D2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～70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5CE927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65AB4D0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5E6D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3C6A5A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0F2174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播种前</w:t>
            </w:r>
          </w:p>
        </w:tc>
        <w:tc>
          <w:tcPr>
            <w:tcW w:w="791" w:type="pct"/>
            <w:vAlign w:val="center"/>
          </w:tcPr>
          <w:p w14:paraId="52102A4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469A3C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14%辛硫·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三唑酮乳油</w:t>
            </w:r>
          </w:p>
        </w:tc>
        <w:tc>
          <w:tcPr>
            <w:tcW w:w="1109" w:type="pct"/>
            <w:vAlign w:val="center"/>
          </w:tcPr>
          <w:p w14:paraId="5994B9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42 g～56 g/100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kg种子</w:t>
            </w:r>
          </w:p>
        </w:tc>
        <w:tc>
          <w:tcPr>
            <w:tcW w:w="396" w:type="pct"/>
            <w:vAlign w:val="center"/>
          </w:tcPr>
          <w:p w14:paraId="1847BC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拌种</w:t>
            </w:r>
          </w:p>
        </w:tc>
        <w:tc>
          <w:tcPr>
            <w:tcW w:w="425" w:type="pct"/>
            <w:vAlign w:val="center"/>
          </w:tcPr>
          <w:p w14:paraId="28895E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785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restart"/>
            <w:vAlign w:val="center"/>
          </w:tcPr>
          <w:p w14:paraId="0945E50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纹枯病</w:t>
            </w:r>
          </w:p>
        </w:tc>
        <w:tc>
          <w:tcPr>
            <w:tcW w:w="635" w:type="pct"/>
            <w:vMerge w:val="restart"/>
            <w:vAlign w:val="center"/>
          </w:tcPr>
          <w:p w14:paraId="3D4B03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拔节至灌浆期</w:t>
            </w:r>
          </w:p>
        </w:tc>
        <w:tc>
          <w:tcPr>
            <w:tcW w:w="791" w:type="pct"/>
            <w:vMerge w:val="restart"/>
            <w:vAlign w:val="center"/>
          </w:tcPr>
          <w:p w14:paraId="1143A2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病茎率15%</w:t>
            </w:r>
          </w:p>
        </w:tc>
        <w:tc>
          <w:tcPr>
            <w:tcW w:w="1030" w:type="pct"/>
            <w:vAlign w:val="center"/>
          </w:tcPr>
          <w:p w14:paraId="10C73FD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%井冈霉素水剂</w:t>
            </w:r>
          </w:p>
        </w:tc>
        <w:tc>
          <w:tcPr>
            <w:tcW w:w="1109" w:type="pct"/>
            <w:vAlign w:val="center"/>
          </w:tcPr>
          <w:p w14:paraId="79D877A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37.5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6583E7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4A5590A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14:paraId="31D9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17D5B0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9D343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3809D50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3A3A849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%丙环唑乳油</w:t>
            </w:r>
          </w:p>
        </w:tc>
        <w:tc>
          <w:tcPr>
            <w:tcW w:w="1109" w:type="pct"/>
            <w:vAlign w:val="center"/>
          </w:tcPr>
          <w:p w14:paraId="563390F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25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35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116E93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6142A50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14:paraId="267C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restart"/>
            <w:vAlign w:val="center"/>
          </w:tcPr>
          <w:p w14:paraId="19E9BF5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赤霉病</w:t>
            </w:r>
          </w:p>
        </w:tc>
        <w:tc>
          <w:tcPr>
            <w:tcW w:w="635" w:type="pct"/>
            <w:vMerge w:val="restart"/>
            <w:vAlign w:val="center"/>
          </w:tcPr>
          <w:p w14:paraId="612215F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齐穗至盛花期</w:t>
            </w:r>
          </w:p>
        </w:tc>
        <w:tc>
          <w:tcPr>
            <w:tcW w:w="791" w:type="pct"/>
            <w:vMerge w:val="restart"/>
            <w:vAlign w:val="center"/>
          </w:tcPr>
          <w:p w14:paraId="5D1528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遇多雨、连阴雨天气，喷药预防</w:t>
            </w:r>
          </w:p>
        </w:tc>
        <w:tc>
          <w:tcPr>
            <w:tcW w:w="1030" w:type="pct"/>
            <w:vAlign w:val="center"/>
          </w:tcPr>
          <w:p w14:paraId="6A78C07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%多菌灵可湿性粉剂</w:t>
            </w:r>
          </w:p>
        </w:tc>
        <w:tc>
          <w:tcPr>
            <w:tcW w:w="1109" w:type="pct"/>
            <w:vAlign w:val="center"/>
          </w:tcPr>
          <w:p w14:paraId="346D24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120 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～150 g/亩</w:t>
            </w:r>
          </w:p>
        </w:tc>
        <w:tc>
          <w:tcPr>
            <w:tcW w:w="396" w:type="pct"/>
            <w:vAlign w:val="center"/>
          </w:tcPr>
          <w:p w14:paraId="2CCA61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070F09E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14:paraId="010D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4AF91F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062D6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73804C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5871F12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25%戊唑醇可湿性粉剂</w:t>
            </w:r>
          </w:p>
        </w:tc>
        <w:tc>
          <w:tcPr>
            <w:tcW w:w="1109" w:type="pct"/>
            <w:vAlign w:val="center"/>
          </w:tcPr>
          <w:p w14:paraId="7A460E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60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g～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g/亩</w:t>
            </w:r>
          </w:p>
        </w:tc>
        <w:tc>
          <w:tcPr>
            <w:tcW w:w="396" w:type="pct"/>
            <w:vAlign w:val="center"/>
          </w:tcPr>
          <w:p w14:paraId="5239D76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397BE6A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5570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restart"/>
            <w:vAlign w:val="center"/>
          </w:tcPr>
          <w:p w14:paraId="3E9498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蚜虫</w:t>
            </w:r>
          </w:p>
        </w:tc>
        <w:tc>
          <w:tcPr>
            <w:tcW w:w="635" w:type="pct"/>
            <w:vMerge w:val="restart"/>
            <w:vAlign w:val="center"/>
          </w:tcPr>
          <w:p w14:paraId="169E92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发生期</w:t>
            </w:r>
          </w:p>
        </w:tc>
        <w:tc>
          <w:tcPr>
            <w:tcW w:w="791" w:type="pct"/>
            <w:vMerge w:val="restart"/>
            <w:vAlign w:val="center"/>
          </w:tcPr>
          <w:p w14:paraId="671167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苗蚜百株100头、穗蚜百茎500头</w:t>
            </w:r>
          </w:p>
        </w:tc>
        <w:tc>
          <w:tcPr>
            <w:tcW w:w="1030" w:type="pct"/>
            <w:vAlign w:val="center"/>
          </w:tcPr>
          <w:p w14:paraId="77484E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%吡虫啉可湿性粉剂</w:t>
            </w:r>
          </w:p>
        </w:tc>
        <w:tc>
          <w:tcPr>
            <w:tcW w:w="1109" w:type="pct"/>
            <w:vAlign w:val="center"/>
          </w:tcPr>
          <w:p w14:paraId="4028265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20 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～4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0B61A33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3D0B265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14:paraId="6B00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Merge w:val="continue"/>
            <w:vAlign w:val="center"/>
          </w:tcPr>
          <w:p w14:paraId="0D9566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9484CF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pct"/>
            <w:vMerge w:val="continue"/>
            <w:vAlign w:val="center"/>
          </w:tcPr>
          <w:p w14:paraId="105163D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06CB14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%抗蚜威可湿性粉剂</w:t>
            </w:r>
          </w:p>
        </w:tc>
        <w:tc>
          <w:tcPr>
            <w:tcW w:w="1109" w:type="pct"/>
            <w:vAlign w:val="center"/>
          </w:tcPr>
          <w:p w14:paraId="3D874EF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 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1CC1CD1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10FC85A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14:paraId="389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Align w:val="center"/>
          </w:tcPr>
          <w:p w14:paraId="0B085B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地下害虫</w:t>
            </w:r>
          </w:p>
        </w:tc>
        <w:tc>
          <w:tcPr>
            <w:tcW w:w="635" w:type="pct"/>
            <w:vAlign w:val="center"/>
          </w:tcPr>
          <w:p w14:paraId="69789A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播种前</w:t>
            </w:r>
          </w:p>
        </w:tc>
        <w:tc>
          <w:tcPr>
            <w:tcW w:w="791" w:type="pct"/>
            <w:vAlign w:val="center"/>
          </w:tcPr>
          <w:p w14:paraId="6829F4B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vAlign w:val="center"/>
          </w:tcPr>
          <w:p w14:paraId="0EB8D2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%苯甲·吡虫啉悬浮剂</w:t>
            </w:r>
          </w:p>
        </w:tc>
        <w:tc>
          <w:tcPr>
            <w:tcW w:w="1109" w:type="pct"/>
            <w:vAlign w:val="center"/>
          </w:tcPr>
          <w:p w14:paraId="635910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1429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1667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/100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kg种子</w:t>
            </w:r>
          </w:p>
        </w:tc>
        <w:tc>
          <w:tcPr>
            <w:tcW w:w="396" w:type="pct"/>
            <w:vAlign w:val="center"/>
          </w:tcPr>
          <w:p w14:paraId="0DFAC75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拌种</w:t>
            </w:r>
          </w:p>
        </w:tc>
        <w:tc>
          <w:tcPr>
            <w:tcW w:w="425" w:type="pct"/>
            <w:vAlign w:val="center"/>
          </w:tcPr>
          <w:p w14:paraId="675CC8A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9E1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Align w:val="center"/>
          </w:tcPr>
          <w:p w14:paraId="2D6FC37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麦蜘蛛</w:t>
            </w:r>
          </w:p>
        </w:tc>
        <w:tc>
          <w:tcPr>
            <w:tcW w:w="635" w:type="pct"/>
            <w:vAlign w:val="center"/>
          </w:tcPr>
          <w:p w14:paraId="226D11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发生期</w:t>
            </w:r>
          </w:p>
        </w:tc>
        <w:tc>
          <w:tcPr>
            <w:tcW w:w="791" w:type="pct"/>
            <w:vAlign w:val="center"/>
          </w:tcPr>
          <w:p w14:paraId="59DBD8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市尺单行200头</w:t>
            </w:r>
          </w:p>
        </w:tc>
        <w:tc>
          <w:tcPr>
            <w:tcW w:w="1030" w:type="pct"/>
            <w:vAlign w:val="center"/>
          </w:tcPr>
          <w:p w14:paraId="44E62B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%噻虫嗪悬浮剂</w:t>
            </w:r>
          </w:p>
        </w:tc>
        <w:tc>
          <w:tcPr>
            <w:tcW w:w="1109" w:type="pct"/>
            <w:vAlign w:val="center"/>
          </w:tcPr>
          <w:p w14:paraId="3B3745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8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2058EC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4937E1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14:paraId="789B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4" w:type="pct"/>
            <w:vAlign w:val="center"/>
          </w:tcPr>
          <w:p w14:paraId="78A02E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播娘蒿、荠菜等阔叶杂草</w:t>
            </w:r>
          </w:p>
        </w:tc>
        <w:tc>
          <w:tcPr>
            <w:tcW w:w="635" w:type="pct"/>
            <w:vAlign w:val="center"/>
          </w:tcPr>
          <w:p w14:paraId="5E4F46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冬小麦分蘖初至分蘖末期</w:t>
            </w:r>
          </w:p>
        </w:tc>
        <w:tc>
          <w:tcPr>
            <w:tcW w:w="791" w:type="pct"/>
            <w:vAlign w:val="center"/>
          </w:tcPr>
          <w:p w14:paraId="7A82794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每平方米30株</w:t>
            </w:r>
          </w:p>
        </w:tc>
        <w:tc>
          <w:tcPr>
            <w:tcW w:w="1030" w:type="pct"/>
            <w:vAlign w:val="center"/>
          </w:tcPr>
          <w:p w14:paraId="0A0D316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15%炔草酯可湿性粉剂</w:t>
            </w:r>
          </w:p>
        </w:tc>
        <w:tc>
          <w:tcPr>
            <w:tcW w:w="1109" w:type="pct"/>
            <w:vAlign w:val="center"/>
          </w:tcPr>
          <w:p w14:paraId="209AF10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16 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 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Helvetica" w:hAnsi="Helvetica" w:eastAsia="Helvetica" w:cs="Helvetica"/>
                <w:sz w:val="16"/>
                <w:szCs w:val="16"/>
                <w:shd w:val="clear" w:color="auto" w:fill="FFFFFF"/>
              </w:rPr>
              <w:t>亩</w:t>
            </w:r>
          </w:p>
        </w:tc>
        <w:tc>
          <w:tcPr>
            <w:tcW w:w="396" w:type="pct"/>
            <w:vAlign w:val="center"/>
          </w:tcPr>
          <w:p w14:paraId="01F5055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60ECEF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 w14:paraId="4B6E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4" w:type="pct"/>
            <w:vAlign w:val="center"/>
          </w:tcPr>
          <w:p w14:paraId="3D6B94A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看麦娘、节节麦等禾本科杂草</w:t>
            </w:r>
          </w:p>
        </w:tc>
        <w:tc>
          <w:tcPr>
            <w:tcW w:w="635" w:type="pct"/>
            <w:vAlign w:val="center"/>
          </w:tcPr>
          <w:p w14:paraId="105E4C5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禾本科杂草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叶期</w:t>
            </w:r>
          </w:p>
        </w:tc>
        <w:tc>
          <w:tcPr>
            <w:tcW w:w="791" w:type="pct"/>
            <w:vAlign w:val="center"/>
          </w:tcPr>
          <w:p w14:paraId="6E0583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每平方米30株</w:t>
            </w:r>
          </w:p>
        </w:tc>
        <w:tc>
          <w:tcPr>
            <w:tcW w:w="1030" w:type="pct"/>
            <w:vAlign w:val="center"/>
          </w:tcPr>
          <w:p w14:paraId="11A92E4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36%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禾草灵乳油</w:t>
            </w:r>
          </w:p>
        </w:tc>
        <w:tc>
          <w:tcPr>
            <w:tcW w:w="1109" w:type="pct"/>
            <w:vAlign w:val="center"/>
          </w:tcPr>
          <w:p w14:paraId="691CC28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～20</w:t>
            </w:r>
            <w:r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  <w:t>0 ml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/亩</w:t>
            </w:r>
          </w:p>
        </w:tc>
        <w:tc>
          <w:tcPr>
            <w:tcW w:w="396" w:type="pct"/>
            <w:vAlign w:val="center"/>
          </w:tcPr>
          <w:p w14:paraId="427DC4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喷雾</w:t>
            </w:r>
          </w:p>
        </w:tc>
        <w:tc>
          <w:tcPr>
            <w:tcW w:w="425" w:type="pct"/>
            <w:vAlign w:val="center"/>
          </w:tcPr>
          <w:p w14:paraId="2D58EE0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4B9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vAlign w:val="center"/>
          </w:tcPr>
          <w:p w14:paraId="40699479"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注：农药使用以最新版本NY/T 393的规定为准。</w:t>
            </w:r>
          </w:p>
        </w:tc>
      </w:tr>
    </w:tbl>
    <w:p w14:paraId="5AE5997C">
      <w:pPr>
        <w:rPr>
          <w:rFonts w:ascii="Times New Roman" w:hAnsi="Times New Roman" w:cs="Times New Roman"/>
          <w:color w:val="000000"/>
          <w:szCs w:val="21"/>
        </w:rPr>
      </w:pPr>
    </w:p>
    <w:p w14:paraId="4E0E3E5B">
      <w:pPr>
        <w:spacing w:before="50" w:after="50"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29690EAA">
      <w:pPr>
        <w:rPr>
          <w:rFonts w:ascii="Times New Roman" w:hAnsi="Times New Roman" w:cs="Times New Roman"/>
          <w:color w:val="000000"/>
          <w:szCs w:val="21"/>
        </w:rPr>
      </w:pPr>
    </w:p>
    <w:p w14:paraId="15C8680F">
      <w:pPr>
        <w:rPr>
          <w:rFonts w:ascii="Times New Roman" w:hAnsi="Times New Roman" w:cs="Times New Roman"/>
          <w:color w:val="000000"/>
          <w:szCs w:val="21"/>
        </w:rPr>
      </w:pPr>
    </w:p>
    <w:p w14:paraId="5B6DC1E1">
      <w:pPr>
        <w:rPr>
          <w:rFonts w:ascii="Times New Roman" w:hAnsi="Times New Roman" w:cs="Times New Roman"/>
          <w:color w:val="000000"/>
          <w:szCs w:val="21"/>
        </w:rPr>
      </w:pPr>
    </w:p>
    <w:p w14:paraId="01957603">
      <w:pPr>
        <w:rPr>
          <w:rFonts w:ascii="Times New Roman" w:hAnsi="Times New Roman" w:cs="Times New Roman"/>
          <w:color w:val="000000"/>
          <w:szCs w:val="21"/>
        </w:rPr>
      </w:pPr>
    </w:p>
    <w:p w14:paraId="7D85D61B">
      <w:pPr>
        <w:rPr>
          <w:rFonts w:ascii="Times New Roman" w:hAnsi="Times New Roman" w:cs="Times New Roman"/>
          <w:color w:val="000000"/>
          <w:szCs w:val="21"/>
        </w:rPr>
      </w:pPr>
    </w:p>
    <w:p w14:paraId="55A30742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3B719">
    <w:pPr>
      <w:jc w:val="right"/>
      <w:rPr>
        <w:rFonts w:ascii="黑体" w:hAnsi="黑体" w:eastAsia="黑体"/>
        <w:szCs w:val="21"/>
      </w:rPr>
    </w:pPr>
    <w:r>
      <w:rPr>
        <w:rFonts w:hint="eastAsia" w:ascii="黑体" w:hAnsi="黑体" w:eastAsia="黑体"/>
        <w:szCs w:val="21"/>
      </w:rPr>
      <w:t>T/CGFA0×-202×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8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">
    <w:nsid w:val="4DC25BF7"/>
    <w:multiLevelType w:val="multilevel"/>
    <w:tmpl w:val="4DC25BF7"/>
    <w:lvl w:ilvl="0" w:tentative="0">
      <w:start w:val="1"/>
      <w:numFmt w:val="decimal"/>
      <w:pStyle w:val="2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3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CC"/>
    <w:rsid w:val="000030F9"/>
    <w:rsid w:val="0004540C"/>
    <w:rsid w:val="000624EE"/>
    <w:rsid w:val="000C3DA7"/>
    <w:rsid w:val="000E7F73"/>
    <w:rsid w:val="001013B8"/>
    <w:rsid w:val="00167E00"/>
    <w:rsid w:val="00184E5C"/>
    <w:rsid w:val="00195F09"/>
    <w:rsid w:val="001A6AB4"/>
    <w:rsid w:val="001F7E4A"/>
    <w:rsid w:val="00200A21"/>
    <w:rsid w:val="00211749"/>
    <w:rsid w:val="00221E93"/>
    <w:rsid w:val="002557A6"/>
    <w:rsid w:val="00272BBF"/>
    <w:rsid w:val="0029498B"/>
    <w:rsid w:val="002B7D3F"/>
    <w:rsid w:val="002C22C2"/>
    <w:rsid w:val="003025CE"/>
    <w:rsid w:val="00323CAE"/>
    <w:rsid w:val="00380396"/>
    <w:rsid w:val="003C385A"/>
    <w:rsid w:val="003D42E2"/>
    <w:rsid w:val="003F1F68"/>
    <w:rsid w:val="00413BD5"/>
    <w:rsid w:val="00451295"/>
    <w:rsid w:val="00451693"/>
    <w:rsid w:val="004730C3"/>
    <w:rsid w:val="0047357B"/>
    <w:rsid w:val="00487DCC"/>
    <w:rsid w:val="004C087B"/>
    <w:rsid w:val="004C517D"/>
    <w:rsid w:val="00500138"/>
    <w:rsid w:val="00503376"/>
    <w:rsid w:val="005123DE"/>
    <w:rsid w:val="00541EB3"/>
    <w:rsid w:val="00550656"/>
    <w:rsid w:val="00561350"/>
    <w:rsid w:val="005613F2"/>
    <w:rsid w:val="00586FEC"/>
    <w:rsid w:val="005A4DC7"/>
    <w:rsid w:val="00602563"/>
    <w:rsid w:val="00604835"/>
    <w:rsid w:val="0060494B"/>
    <w:rsid w:val="00624634"/>
    <w:rsid w:val="0062693E"/>
    <w:rsid w:val="00630E24"/>
    <w:rsid w:val="00671CCD"/>
    <w:rsid w:val="00685EA9"/>
    <w:rsid w:val="00692E68"/>
    <w:rsid w:val="006B251A"/>
    <w:rsid w:val="006D24F9"/>
    <w:rsid w:val="006E0E7F"/>
    <w:rsid w:val="006F22C7"/>
    <w:rsid w:val="006F5340"/>
    <w:rsid w:val="00713CC6"/>
    <w:rsid w:val="00714900"/>
    <w:rsid w:val="0074527F"/>
    <w:rsid w:val="00774B58"/>
    <w:rsid w:val="00775345"/>
    <w:rsid w:val="00783B78"/>
    <w:rsid w:val="007A76F7"/>
    <w:rsid w:val="007E41D0"/>
    <w:rsid w:val="008436D3"/>
    <w:rsid w:val="008523B7"/>
    <w:rsid w:val="008A7AAA"/>
    <w:rsid w:val="008D7922"/>
    <w:rsid w:val="008E34E8"/>
    <w:rsid w:val="008F1F6B"/>
    <w:rsid w:val="00904089"/>
    <w:rsid w:val="0092492A"/>
    <w:rsid w:val="009378B1"/>
    <w:rsid w:val="009548DB"/>
    <w:rsid w:val="009E7A93"/>
    <w:rsid w:val="00A27E0E"/>
    <w:rsid w:val="00A329CF"/>
    <w:rsid w:val="00A67B7D"/>
    <w:rsid w:val="00AB5AE1"/>
    <w:rsid w:val="00AC386B"/>
    <w:rsid w:val="00B10096"/>
    <w:rsid w:val="00B1402C"/>
    <w:rsid w:val="00BA20F5"/>
    <w:rsid w:val="00BC6AD2"/>
    <w:rsid w:val="00C0578E"/>
    <w:rsid w:val="00C126C0"/>
    <w:rsid w:val="00C86853"/>
    <w:rsid w:val="00CC21B7"/>
    <w:rsid w:val="00CE0A16"/>
    <w:rsid w:val="00CE0F5D"/>
    <w:rsid w:val="00CE14E5"/>
    <w:rsid w:val="00CF76F6"/>
    <w:rsid w:val="00D23DA7"/>
    <w:rsid w:val="00D24F94"/>
    <w:rsid w:val="00D5795F"/>
    <w:rsid w:val="00E04DAF"/>
    <w:rsid w:val="00E4022C"/>
    <w:rsid w:val="00E719DE"/>
    <w:rsid w:val="00E72A55"/>
    <w:rsid w:val="00E8742B"/>
    <w:rsid w:val="00E9181A"/>
    <w:rsid w:val="00F00520"/>
    <w:rsid w:val="00F25705"/>
    <w:rsid w:val="00F4729D"/>
    <w:rsid w:val="00F747A1"/>
    <w:rsid w:val="00F92361"/>
    <w:rsid w:val="00FD550A"/>
    <w:rsid w:val="00FE5DBC"/>
    <w:rsid w:val="00FE6ECC"/>
    <w:rsid w:val="0178495D"/>
    <w:rsid w:val="02EB4148"/>
    <w:rsid w:val="02ED7EC0"/>
    <w:rsid w:val="03231B33"/>
    <w:rsid w:val="039667A9"/>
    <w:rsid w:val="0575419C"/>
    <w:rsid w:val="05791EDF"/>
    <w:rsid w:val="05854A93"/>
    <w:rsid w:val="064C0FFA"/>
    <w:rsid w:val="06CE70B8"/>
    <w:rsid w:val="07261BF2"/>
    <w:rsid w:val="07660241"/>
    <w:rsid w:val="07D653C6"/>
    <w:rsid w:val="091F2D9D"/>
    <w:rsid w:val="0A412F2D"/>
    <w:rsid w:val="0A5B7E05"/>
    <w:rsid w:val="0A7D421F"/>
    <w:rsid w:val="0AA01CBB"/>
    <w:rsid w:val="0ABB6AF5"/>
    <w:rsid w:val="0AD55E09"/>
    <w:rsid w:val="0B09160F"/>
    <w:rsid w:val="0C5C7E64"/>
    <w:rsid w:val="0D002EE5"/>
    <w:rsid w:val="0D8E6743"/>
    <w:rsid w:val="0DDD6D83"/>
    <w:rsid w:val="0EF44384"/>
    <w:rsid w:val="0F5D461F"/>
    <w:rsid w:val="0F977B31"/>
    <w:rsid w:val="0F9A4F2B"/>
    <w:rsid w:val="0FAF717F"/>
    <w:rsid w:val="103B4960"/>
    <w:rsid w:val="12C14EC5"/>
    <w:rsid w:val="13675A6C"/>
    <w:rsid w:val="14495172"/>
    <w:rsid w:val="14A405FA"/>
    <w:rsid w:val="14F72CD4"/>
    <w:rsid w:val="16A550C0"/>
    <w:rsid w:val="17681DB3"/>
    <w:rsid w:val="17984446"/>
    <w:rsid w:val="17E520D8"/>
    <w:rsid w:val="19045B0B"/>
    <w:rsid w:val="19575C3B"/>
    <w:rsid w:val="1A50725A"/>
    <w:rsid w:val="1ABB0818"/>
    <w:rsid w:val="1BAA0BEC"/>
    <w:rsid w:val="1C166281"/>
    <w:rsid w:val="1C6C40F3"/>
    <w:rsid w:val="1D1F47AD"/>
    <w:rsid w:val="1DE5480D"/>
    <w:rsid w:val="1E0210EB"/>
    <w:rsid w:val="1E1278FC"/>
    <w:rsid w:val="1E791675"/>
    <w:rsid w:val="1EA26CAD"/>
    <w:rsid w:val="1EE73F05"/>
    <w:rsid w:val="1FF02946"/>
    <w:rsid w:val="21521B0A"/>
    <w:rsid w:val="21B300CF"/>
    <w:rsid w:val="21C7063D"/>
    <w:rsid w:val="221C5C74"/>
    <w:rsid w:val="224C47AB"/>
    <w:rsid w:val="23B048C6"/>
    <w:rsid w:val="23B24AE2"/>
    <w:rsid w:val="244A1145"/>
    <w:rsid w:val="25F80BEF"/>
    <w:rsid w:val="2681079B"/>
    <w:rsid w:val="26C30CEC"/>
    <w:rsid w:val="26F45411"/>
    <w:rsid w:val="271D1824"/>
    <w:rsid w:val="2776664F"/>
    <w:rsid w:val="28153891"/>
    <w:rsid w:val="28203476"/>
    <w:rsid w:val="287A7186"/>
    <w:rsid w:val="28D76D98"/>
    <w:rsid w:val="29852351"/>
    <w:rsid w:val="2A3873C3"/>
    <w:rsid w:val="2A7E3970"/>
    <w:rsid w:val="2A8B1BE9"/>
    <w:rsid w:val="2A994305"/>
    <w:rsid w:val="2AA84549"/>
    <w:rsid w:val="2B0F4649"/>
    <w:rsid w:val="2C11611D"/>
    <w:rsid w:val="2C5524AE"/>
    <w:rsid w:val="2C8608B9"/>
    <w:rsid w:val="2CE61358"/>
    <w:rsid w:val="2D214A86"/>
    <w:rsid w:val="2DCF003E"/>
    <w:rsid w:val="2EB6049D"/>
    <w:rsid w:val="2EC658E5"/>
    <w:rsid w:val="2FD302BA"/>
    <w:rsid w:val="2FDE6C5E"/>
    <w:rsid w:val="2FE73D65"/>
    <w:rsid w:val="304B42F4"/>
    <w:rsid w:val="30896BCA"/>
    <w:rsid w:val="317433D6"/>
    <w:rsid w:val="3293788C"/>
    <w:rsid w:val="32D6521C"/>
    <w:rsid w:val="335214F5"/>
    <w:rsid w:val="3546508A"/>
    <w:rsid w:val="35995A99"/>
    <w:rsid w:val="35C80195"/>
    <w:rsid w:val="361D1FA0"/>
    <w:rsid w:val="362829E1"/>
    <w:rsid w:val="36592B9B"/>
    <w:rsid w:val="37797999"/>
    <w:rsid w:val="3787198A"/>
    <w:rsid w:val="37AA2DE4"/>
    <w:rsid w:val="380134EA"/>
    <w:rsid w:val="385E6B8E"/>
    <w:rsid w:val="38CD7870"/>
    <w:rsid w:val="39772A69"/>
    <w:rsid w:val="39916AF0"/>
    <w:rsid w:val="3A15327D"/>
    <w:rsid w:val="3A396F6B"/>
    <w:rsid w:val="3ACE7FFB"/>
    <w:rsid w:val="3AFA0DF0"/>
    <w:rsid w:val="3B381919"/>
    <w:rsid w:val="3B4C7172"/>
    <w:rsid w:val="3CFC58ED"/>
    <w:rsid w:val="3D587AC8"/>
    <w:rsid w:val="3D7824A0"/>
    <w:rsid w:val="3D923A95"/>
    <w:rsid w:val="3F4A7E6C"/>
    <w:rsid w:val="3FAC01DF"/>
    <w:rsid w:val="3FF1653A"/>
    <w:rsid w:val="400D3374"/>
    <w:rsid w:val="4134048C"/>
    <w:rsid w:val="41652D3C"/>
    <w:rsid w:val="41BB4A1A"/>
    <w:rsid w:val="427668F2"/>
    <w:rsid w:val="43AC2EA4"/>
    <w:rsid w:val="448C05DF"/>
    <w:rsid w:val="44F3461D"/>
    <w:rsid w:val="45E701C3"/>
    <w:rsid w:val="462B0D9E"/>
    <w:rsid w:val="46963997"/>
    <w:rsid w:val="46ED7A5B"/>
    <w:rsid w:val="47FF747A"/>
    <w:rsid w:val="48092B19"/>
    <w:rsid w:val="4823125B"/>
    <w:rsid w:val="484A4A39"/>
    <w:rsid w:val="4867383D"/>
    <w:rsid w:val="493A2D00"/>
    <w:rsid w:val="49F57FBD"/>
    <w:rsid w:val="4A4C6847"/>
    <w:rsid w:val="4A5BC11F"/>
    <w:rsid w:val="4A9106FD"/>
    <w:rsid w:val="4A9C318A"/>
    <w:rsid w:val="4AA03489"/>
    <w:rsid w:val="4B005883"/>
    <w:rsid w:val="4B83273C"/>
    <w:rsid w:val="4B944949"/>
    <w:rsid w:val="4BB73299"/>
    <w:rsid w:val="4BE8259F"/>
    <w:rsid w:val="4BF042F0"/>
    <w:rsid w:val="4C426AC3"/>
    <w:rsid w:val="4CC528E0"/>
    <w:rsid w:val="4F31425D"/>
    <w:rsid w:val="4F42290E"/>
    <w:rsid w:val="4F936CC6"/>
    <w:rsid w:val="508A00C9"/>
    <w:rsid w:val="50EB11F0"/>
    <w:rsid w:val="50EC48E0"/>
    <w:rsid w:val="52AD1C1B"/>
    <w:rsid w:val="53071EA5"/>
    <w:rsid w:val="530C3017"/>
    <w:rsid w:val="53837A1F"/>
    <w:rsid w:val="53DC22CC"/>
    <w:rsid w:val="54AB7A0C"/>
    <w:rsid w:val="55052414"/>
    <w:rsid w:val="551B5793"/>
    <w:rsid w:val="55717AA9"/>
    <w:rsid w:val="558772CD"/>
    <w:rsid w:val="56BC6B02"/>
    <w:rsid w:val="56C1680E"/>
    <w:rsid w:val="57236B81"/>
    <w:rsid w:val="591E5852"/>
    <w:rsid w:val="59633BAD"/>
    <w:rsid w:val="5A1D3D5C"/>
    <w:rsid w:val="5A865DA5"/>
    <w:rsid w:val="5B5C4D58"/>
    <w:rsid w:val="5B9B13DC"/>
    <w:rsid w:val="5BD82630"/>
    <w:rsid w:val="5DBA5211"/>
    <w:rsid w:val="5E7303EE"/>
    <w:rsid w:val="5ED13367"/>
    <w:rsid w:val="5F0059FA"/>
    <w:rsid w:val="5F78AF6A"/>
    <w:rsid w:val="6363332A"/>
    <w:rsid w:val="63B514A9"/>
    <w:rsid w:val="63FA5A12"/>
    <w:rsid w:val="64AFC870"/>
    <w:rsid w:val="64DF4A2F"/>
    <w:rsid w:val="64E24D6C"/>
    <w:rsid w:val="6522491C"/>
    <w:rsid w:val="65EE2A50"/>
    <w:rsid w:val="66E610DD"/>
    <w:rsid w:val="6832131A"/>
    <w:rsid w:val="697B45FB"/>
    <w:rsid w:val="6A745C1A"/>
    <w:rsid w:val="6BD13FFF"/>
    <w:rsid w:val="6C066D46"/>
    <w:rsid w:val="6C3E165F"/>
    <w:rsid w:val="6C3F7360"/>
    <w:rsid w:val="6CBA7B30"/>
    <w:rsid w:val="6D12171A"/>
    <w:rsid w:val="6D3276C6"/>
    <w:rsid w:val="6DE035C6"/>
    <w:rsid w:val="6E0A23F1"/>
    <w:rsid w:val="6E239581"/>
    <w:rsid w:val="6ECD44CF"/>
    <w:rsid w:val="6F280D81"/>
    <w:rsid w:val="712B39A2"/>
    <w:rsid w:val="71436346"/>
    <w:rsid w:val="721B4BCD"/>
    <w:rsid w:val="72271C00"/>
    <w:rsid w:val="72C139C6"/>
    <w:rsid w:val="74CE598A"/>
    <w:rsid w:val="74F1000A"/>
    <w:rsid w:val="75834F63"/>
    <w:rsid w:val="775A7F45"/>
    <w:rsid w:val="778C23F0"/>
    <w:rsid w:val="77AD4519"/>
    <w:rsid w:val="77DA4BE2"/>
    <w:rsid w:val="783764D9"/>
    <w:rsid w:val="784339AA"/>
    <w:rsid w:val="787B0173"/>
    <w:rsid w:val="79030169"/>
    <w:rsid w:val="79C73DA8"/>
    <w:rsid w:val="79F2235B"/>
    <w:rsid w:val="7A2111EE"/>
    <w:rsid w:val="7CBE2D25"/>
    <w:rsid w:val="7CE3278B"/>
    <w:rsid w:val="7D494CE4"/>
    <w:rsid w:val="7DAE4B47"/>
    <w:rsid w:val="7DED1B13"/>
    <w:rsid w:val="7EA5921F"/>
    <w:rsid w:val="7FB1091F"/>
    <w:rsid w:val="7FBB354B"/>
    <w:rsid w:val="7FFFE449"/>
    <w:rsid w:val="BFDFDCF2"/>
    <w:rsid w:val="FFBFB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2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17">
    <w:name w:val="封面标准代替信息"/>
    <w:autoRedefine/>
    <w:qFormat/>
    <w:uiPriority w:val="0"/>
    <w:pPr>
      <w:framePr w:w="9355" w:h="624" w:hRule="exact" w:hSpace="181" w:vSpace="181" w:wrap="around" w:vAnchor="page" w:hAnchor="page" w:x="1419" w:y="3284"/>
      <w:spacing w:before="57" w:line="280" w:lineRule="exact"/>
      <w:jc w:val="right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19">
    <w:name w:val="封面标准英文名称"/>
    <w:basedOn w:val="1"/>
    <w:autoRedefine/>
    <w:qFormat/>
    <w:uiPriority w:val="0"/>
    <w:pPr>
      <w:framePr w:w="9639" w:h="6974" w:hRule="exact" w:wrap="around" w:vAnchor="page" w:hAnchor="page" w:x="1419" w:y="6408"/>
      <w:tabs>
        <w:tab w:val="left" w:pos="9639"/>
      </w:tabs>
      <w:spacing w:before="410" w:line="360" w:lineRule="exact"/>
      <w:jc w:val="center"/>
      <w:textAlignment w:val="bottom"/>
    </w:pPr>
    <w:rPr>
      <w:rFonts w:hint="eastAsia" w:ascii="Times New Roman" w:hAnsi="Times New Roman" w:eastAsia="黑体" w:cs="Times New Roman"/>
      <w:kern w:val="0"/>
      <w:sz w:val="28"/>
      <w:szCs w:val="20"/>
    </w:rPr>
  </w:style>
  <w:style w:type="paragraph" w:customStyle="1" w:styleId="20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">
    <w:name w:val="章标题"/>
    <w:next w:val="22"/>
    <w:autoRedefine/>
    <w:qFormat/>
    <w:uiPriority w:val="99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">
    <w:name w:val="批注文字 Char"/>
    <w:basedOn w:val="10"/>
    <w:link w:val="3"/>
    <w:qFormat/>
    <w:uiPriority w:val="99"/>
    <w:rPr>
      <w:kern w:val="2"/>
      <w:sz w:val="21"/>
      <w:szCs w:val="22"/>
    </w:rPr>
  </w:style>
  <w:style w:type="paragraph" w:customStyle="1" w:styleId="24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character" w:customStyle="1" w:styleId="25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6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7">
    <w:name w:val="标题 4 Char"/>
    <w:basedOn w:val="10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paragraph" w:customStyle="1" w:styleId="28">
    <w:name w:val="前言、引言标题"/>
    <w:next w:val="1"/>
    <w:qFormat/>
    <w:uiPriority w:val="99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9">
    <w:name w:val="一级条标题"/>
    <w:basedOn w:val="21"/>
    <w:next w:val="22"/>
    <w:qFormat/>
    <w:uiPriority w:val="99"/>
    <w:pPr>
      <w:numPr>
        <w:numId w:val="0"/>
      </w:numPr>
      <w:spacing w:beforeLines="0" w:afterLines="0"/>
      <w:outlineLvl w:val="2"/>
    </w:pPr>
  </w:style>
  <w:style w:type="paragraph" w:customStyle="1" w:styleId="30">
    <w:name w:val="二级条标题"/>
    <w:basedOn w:val="29"/>
    <w:next w:val="22"/>
    <w:qFormat/>
    <w:uiPriority w:val="99"/>
    <w:pPr>
      <w:outlineLvl w:val="3"/>
    </w:pPr>
  </w:style>
  <w:style w:type="paragraph" w:customStyle="1" w:styleId="31">
    <w:name w:val="目次、标准名称标题"/>
    <w:basedOn w:val="28"/>
    <w:next w:val="22"/>
    <w:qFormat/>
    <w:uiPriority w:val="99"/>
    <w:pPr>
      <w:spacing w:line="460" w:lineRule="exact"/>
    </w:pPr>
  </w:style>
  <w:style w:type="paragraph" w:customStyle="1" w:styleId="32">
    <w:name w:val="三级条标题"/>
    <w:basedOn w:val="30"/>
    <w:next w:val="22"/>
    <w:qFormat/>
    <w:uiPriority w:val="99"/>
    <w:pPr>
      <w:outlineLvl w:val="4"/>
    </w:pPr>
  </w:style>
  <w:style w:type="paragraph" w:customStyle="1" w:styleId="33">
    <w:name w:val="四级条标题"/>
    <w:basedOn w:val="32"/>
    <w:next w:val="22"/>
    <w:qFormat/>
    <w:uiPriority w:val="99"/>
    <w:pPr>
      <w:outlineLvl w:val="5"/>
    </w:pPr>
  </w:style>
  <w:style w:type="paragraph" w:customStyle="1" w:styleId="34">
    <w:name w:val="五级条标题"/>
    <w:basedOn w:val="33"/>
    <w:next w:val="22"/>
    <w:qFormat/>
    <w:uiPriority w:val="99"/>
    <w:pPr>
      <w:outlineLvl w:val="6"/>
    </w:p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36">
    <w:name w:val="附录标识"/>
    <w:basedOn w:val="1"/>
    <w:next w:val="22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7">
    <w:name w:val="段 Char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38">
    <w:name w:val="二级无"/>
    <w:basedOn w:val="30"/>
    <w:qFormat/>
    <w:uiPriority w:val="0"/>
    <w:pPr>
      <w:numPr>
        <w:ilvl w:val="2"/>
        <w:numId w:val="3"/>
      </w:numPr>
    </w:pPr>
    <w:rPr>
      <w:rFonts w:ascii="宋体" w:eastAsia="宋体"/>
    </w:rPr>
  </w:style>
  <w:style w:type="paragraph" w:customStyle="1" w:styleId="39">
    <w:name w:val="a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3903</Words>
  <Characters>4502</Characters>
  <Lines>38</Lines>
  <Paragraphs>10</Paragraphs>
  <TotalTime>36</TotalTime>
  <ScaleCrop>false</ScaleCrop>
  <LinksUpToDate>false</LinksUpToDate>
  <CharactersWithSpaces>4694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2024-10-17T02:59:00Z</dcterms:created>
  <dc:creator>志成</dc:creator>
  <cp:lastModifiedBy>房正</cp:lastModifiedBy>
  <dcterms:modified xsi:type="dcterms:W3CDTF">2026-04-14T08:45:26Z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74765142C07144AAAF009C7D0C466478_13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